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A9CA6E">
      <w:pPr>
        <w:spacing w:line="560" w:lineRule="exact"/>
        <w:jc w:val="center"/>
        <w:rPr>
          <w:rFonts w:ascii="方正小标宋简体" w:eastAsia="方正小标宋简体"/>
          <w:sz w:val="44"/>
          <w:szCs w:val="44"/>
        </w:rPr>
      </w:pPr>
      <w:r>
        <w:rPr>
          <w:rFonts w:hint="eastAsia" w:ascii="方正小标宋简体" w:eastAsia="方正小标宋简体"/>
          <w:sz w:val="44"/>
          <w:szCs w:val="44"/>
        </w:rPr>
        <w:t>[械企通]国产第二类医疗器械注册电子化</w:t>
      </w:r>
    </w:p>
    <w:p w14:paraId="02C7D22E">
      <w:pPr>
        <w:spacing w:line="560" w:lineRule="exact"/>
        <w:jc w:val="center"/>
        <w:rPr>
          <w:rFonts w:hint="eastAsia" w:ascii="CESI小标宋-GB2312" w:hAnsi="CESI小标宋-GB2312"/>
          <w:bCs/>
          <w:sz w:val="44"/>
          <w:szCs w:val="44"/>
        </w:rPr>
      </w:pPr>
      <w:r>
        <w:rPr>
          <w:rFonts w:hint="eastAsia" w:ascii="方正小标宋简体" w:eastAsia="方正小标宋简体"/>
          <w:sz w:val="44"/>
          <w:szCs w:val="44"/>
        </w:rPr>
        <w:t>申报功能详解（三）：受理前服务</w:t>
      </w:r>
    </w:p>
    <w:p w14:paraId="46D6D7B2">
      <w:pPr>
        <w:rPr>
          <w:rFonts w:ascii="CESI仿宋-GB2312" w:hAnsi="CESI仿宋-GB2312"/>
          <w:sz w:val="32"/>
          <w:szCs w:val="32"/>
        </w:rPr>
      </w:pPr>
      <w:r>
        <w:rPr>
          <w:rFonts w:ascii="CESI仿宋-GB2312" w:hAnsi="CESI仿宋-GB2312"/>
          <w:sz w:val="32"/>
          <w:szCs w:val="32"/>
        </w:rPr>
        <w:t xml:space="preserve"> </w:t>
      </w:r>
    </w:p>
    <w:p w14:paraId="3B1DAF38">
      <w:pPr>
        <w:ind w:firstLine="640" w:firstLineChars="200"/>
        <w:rPr>
          <w:rFonts w:ascii="仿宋_GB2312" w:eastAsia="仿宋_GB2312"/>
          <w:kern w:val="0"/>
          <w:sz w:val="32"/>
          <w:szCs w:val="32"/>
          <w:shd w:val="clear" w:color="auto" w:fill="FFFFFF"/>
        </w:rPr>
      </w:pPr>
      <w:r>
        <w:rPr>
          <w:rFonts w:hint="eastAsia" w:ascii="仿宋_GB2312" w:eastAsia="仿宋_GB2312"/>
          <w:kern w:val="0"/>
          <w:sz w:val="32"/>
          <w:szCs w:val="32"/>
          <w:shd w:val="clear" w:color="auto" w:fill="FFFFFF"/>
        </w:rPr>
        <w:t>为持续优化首都医疗器械产业营商环境，提高政务服务效率，北京市药品监督管理局于2024年11月上线新版行政许可系统，通过在系统中嵌入受理前服务、补正资料预审查等创新功能，成功缩短了申请人各类事项办理周期。为进一步优化医疗器械审评审批服务，提升申请人注册申报效率，市器械审查中心对申请人咨询较多的电子化申报问题进行了总结归纳。结合梳理情况，本文将重点详解“</w:t>
      </w:r>
      <w:r>
        <w:rPr>
          <w:rFonts w:hint="eastAsia" w:ascii="仿宋_GB2312" w:eastAsia="仿宋_GB2312"/>
          <w:kern w:val="0"/>
          <w:sz w:val="32"/>
          <w:szCs w:val="32"/>
          <w:shd w:val="clear" w:color="auto" w:fill="FFFFFF"/>
          <w:lang w:val="en-US" w:eastAsia="zh-CN"/>
        </w:rPr>
        <w:t>受理前服务</w:t>
      </w:r>
      <w:r>
        <w:rPr>
          <w:rFonts w:hint="eastAsia" w:ascii="仿宋_GB2312" w:eastAsia="仿宋_GB2312"/>
          <w:kern w:val="0"/>
          <w:sz w:val="32"/>
          <w:szCs w:val="32"/>
          <w:shd w:val="clear" w:color="auto" w:fill="FFFFFF"/>
        </w:rPr>
        <w:t>”电子化申报功能。</w:t>
      </w:r>
    </w:p>
    <w:p w14:paraId="7CD7C2DE">
      <w:pPr>
        <w:numPr>
          <w:ilvl w:val="0"/>
          <w:numId w:val="1"/>
        </w:numPr>
        <w:rPr>
          <w:rFonts w:hint="eastAsia" w:ascii="仿宋_GB2312" w:eastAsia="仿宋_GB2312"/>
          <w:kern w:val="0"/>
          <w:sz w:val="32"/>
          <w:szCs w:val="32"/>
          <w:shd w:val="clear" w:color="auto" w:fill="FFFFFF"/>
        </w:rPr>
      </w:pPr>
      <w:r>
        <w:rPr>
          <w:rFonts w:hint="eastAsia" w:ascii="仿宋_GB2312" w:eastAsia="仿宋_GB2312"/>
          <w:kern w:val="0"/>
          <w:sz w:val="32"/>
          <w:szCs w:val="32"/>
          <w:shd w:val="clear" w:color="auto" w:fill="FFFFFF"/>
        </w:rPr>
        <w:t>什么是</w:t>
      </w:r>
      <w:r>
        <w:rPr>
          <w:rFonts w:hint="eastAsia" w:ascii="仿宋_GB2312" w:eastAsia="仿宋_GB2312"/>
          <w:kern w:val="0"/>
          <w:sz w:val="32"/>
          <w:szCs w:val="32"/>
          <w:shd w:val="clear" w:color="auto" w:fill="FFFFFF"/>
          <w:lang w:val="en-US" w:eastAsia="zh-CN"/>
        </w:rPr>
        <w:t>受理前服务</w:t>
      </w:r>
      <w:r>
        <w:rPr>
          <w:rFonts w:hint="eastAsia" w:ascii="仿宋_GB2312" w:eastAsia="仿宋_GB2312"/>
          <w:kern w:val="0"/>
          <w:sz w:val="32"/>
          <w:szCs w:val="32"/>
          <w:shd w:val="clear" w:color="auto" w:fill="FFFFFF"/>
        </w:rPr>
        <w:t xml:space="preserve">？ </w:t>
      </w:r>
    </w:p>
    <w:p w14:paraId="01362563">
      <w:pPr>
        <w:numPr>
          <w:ilvl w:val="0"/>
          <w:numId w:val="0"/>
        </w:numPr>
        <w:ind w:leftChars="0" w:firstLine="640" w:firstLineChars="200"/>
        <w:rPr>
          <w:rFonts w:hint="eastAsia" w:ascii="仿宋_GB2312" w:eastAsia="仿宋_GB2312"/>
          <w:kern w:val="0"/>
          <w:sz w:val="32"/>
          <w:szCs w:val="32"/>
          <w:shd w:val="clear" w:color="auto" w:fill="FFFFFF"/>
        </w:rPr>
      </w:pPr>
      <w:r>
        <w:rPr>
          <w:rFonts w:hint="eastAsia" w:ascii="仿宋_GB2312" w:eastAsia="仿宋_GB2312"/>
          <w:kern w:val="0"/>
          <w:sz w:val="32"/>
          <w:szCs w:val="32"/>
          <w:shd w:val="clear" w:color="auto" w:fill="FFFFFF"/>
          <w:lang w:eastAsia="zh-CN"/>
        </w:rPr>
        <w:t>“</w:t>
      </w:r>
      <w:r>
        <w:rPr>
          <w:rFonts w:hint="eastAsia" w:ascii="仿宋_GB2312" w:eastAsia="仿宋_GB2312"/>
          <w:kern w:val="0"/>
          <w:sz w:val="32"/>
          <w:szCs w:val="32"/>
          <w:shd w:val="clear" w:color="auto" w:fill="FFFFFF"/>
          <w:lang w:val="en-US" w:eastAsia="zh-CN"/>
        </w:rPr>
        <w:t>受理前服务”是指</w:t>
      </w:r>
      <w:r>
        <w:rPr>
          <w:rFonts w:hint="eastAsia" w:ascii="仿宋_GB2312" w:eastAsia="仿宋_GB2312"/>
          <w:kern w:val="0"/>
          <w:sz w:val="32"/>
          <w:szCs w:val="32"/>
          <w:shd w:val="clear" w:color="auto" w:fill="FFFFFF"/>
        </w:rPr>
        <w:t>在医疗器械产品注册申请正式受理前，市器械审查中心为帮助注册申请人提升申报资料质量、优化审评流程、加快产品上市进程而提供的一系列服务举措</w:t>
      </w:r>
      <w:r>
        <w:rPr>
          <w:rFonts w:hint="eastAsia" w:ascii="仿宋_GB2312" w:eastAsia="仿宋_GB2312"/>
          <w:kern w:val="0"/>
          <w:sz w:val="32"/>
          <w:szCs w:val="32"/>
          <w:shd w:val="clear" w:color="auto" w:fill="FFFFFF"/>
          <w:lang w:val="en-US" w:eastAsia="zh-CN"/>
        </w:rPr>
        <w:t>之一</w:t>
      </w:r>
      <w:r>
        <w:rPr>
          <w:rFonts w:hint="eastAsia" w:ascii="仿宋_GB2312" w:eastAsia="仿宋_GB2312"/>
          <w:kern w:val="0"/>
          <w:sz w:val="32"/>
          <w:szCs w:val="32"/>
          <w:shd w:val="clear" w:color="auto" w:fill="FFFFFF"/>
        </w:rPr>
        <w:t>。</w:t>
      </w:r>
    </w:p>
    <w:p w14:paraId="673F7CBB">
      <w:pPr>
        <w:numPr>
          <w:ilvl w:val="0"/>
          <w:numId w:val="2"/>
        </w:numPr>
        <w:rPr>
          <w:rFonts w:hint="eastAsia" w:ascii="仿宋_GB2312" w:eastAsia="仿宋_GB2312"/>
          <w:kern w:val="0"/>
          <w:sz w:val="32"/>
          <w:szCs w:val="32"/>
          <w:shd w:val="clear" w:color="auto" w:fill="FFFFFF"/>
        </w:rPr>
      </w:pPr>
      <w:r>
        <w:rPr>
          <w:rFonts w:hint="eastAsia" w:ascii="仿宋_GB2312" w:eastAsia="仿宋_GB2312"/>
          <w:kern w:val="0"/>
          <w:sz w:val="32"/>
          <w:szCs w:val="32"/>
          <w:shd w:val="clear" w:color="auto" w:fill="FFFFFF"/>
        </w:rPr>
        <w:t>适用情形：</w:t>
      </w:r>
      <w:r>
        <w:rPr>
          <w:rFonts w:hint="eastAsia" w:ascii="仿宋_GB2312" w:eastAsia="仿宋_GB2312"/>
          <w:kern w:val="0"/>
          <w:sz w:val="32"/>
          <w:szCs w:val="32"/>
          <w:shd w:val="clear" w:color="auto" w:fill="FFFFFF"/>
          <w:lang w:val="en-US" w:eastAsia="zh-CN"/>
        </w:rPr>
        <w:t>提交正式受理前的注册资料审查</w:t>
      </w:r>
      <w:r>
        <w:rPr>
          <w:rFonts w:hint="eastAsia" w:ascii="仿宋_GB2312" w:eastAsia="仿宋_GB2312"/>
          <w:kern w:val="0"/>
          <w:sz w:val="32"/>
          <w:szCs w:val="32"/>
          <w:shd w:val="clear" w:color="auto" w:fill="FFFFFF"/>
        </w:rPr>
        <w:t>且无法确认</w:t>
      </w:r>
      <w:r>
        <w:rPr>
          <w:rFonts w:hint="eastAsia" w:ascii="仿宋_GB2312" w:eastAsia="仿宋_GB2312"/>
          <w:kern w:val="0"/>
          <w:sz w:val="32"/>
          <w:szCs w:val="32"/>
          <w:shd w:val="clear" w:color="auto" w:fill="FFFFFF"/>
          <w:lang w:val="en-US" w:eastAsia="zh-CN"/>
        </w:rPr>
        <w:t>注册</w:t>
      </w:r>
      <w:r>
        <w:rPr>
          <w:rFonts w:hint="eastAsia" w:ascii="仿宋_GB2312" w:eastAsia="仿宋_GB2312"/>
          <w:kern w:val="0"/>
          <w:sz w:val="32"/>
          <w:szCs w:val="32"/>
          <w:shd w:val="clear" w:color="auto" w:fill="FFFFFF"/>
        </w:rPr>
        <w:t>材料的合规性</w:t>
      </w:r>
    </w:p>
    <w:p w14:paraId="09A112BD">
      <w:pPr>
        <w:numPr>
          <w:ilvl w:val="0"/>
          <w:numId w:val="2"/>
        </w:numPr>
        <w:rPr>
          <w:rFonts w:hint="eastAsia" w:ascii="仿宋_GB2312" w:eastAsia="仿宋_GB2312"/>
          <w:kern w:val="0"/>
          <w:sz w:val="32"/>
          <w:szCs w:val="32"/>
          <w:shd w:val="clear" w:color="auto" w:fill="FFFFFF"/>
        </w:rPr>
      </w:pPr>
      <w:r>
        <w:rPr>
          <w:rFonts w:hint="eastAsia" w:ascii="仿宋_GB2312" w:eastAsia="仿宋_GB2312"/>
          <w:kern w:val="0"/>
          <w:sz w:val="32"/>
          <w:szCs w:val="32"/>
          <w:shd w:val="clear" w:color="auto" w:fill="FFFFFF"/>
        </w:rPr>
        <w:t xml:space="preserve">服务优势： </w:t>
      </w:r>
    </w:p>
    <w:p w14:paraId="0358995B">
      <w:pPr>
        <w:rPr>
          <w:rFonts w:hint="eastAsia" w:ascii="仿宋_GB2312" w:eastAsia="仿宋_GB2312"/>
          <w:kern w:val="0"/>
          <w:sz w:val="32"/>
          <w:szCs w:val="32"/>
          <w:shd w:val="clear" w:color="auto" w:fill="FFFFFF"/>
        </w:rPr>
      </w:pPr>
      <w:r>
        <w:rPr>
          <w:rFonts w:hint="eastAsia" w:ascii="仿宋_GB2312" w:eastAsia="仿宋_GB2312"/>
          <w:kern w:val="0"/>
          <w:sz w:val="32"/>
          <w:szCs w:val="32"/>
          <w:shd w:val="clear" w:color="auto" w:fill="FFFFFF"/>
        </w:rPr>
        <w:t xml:space="preserve">- 专业指导：提供申报材料完整性、合规性专项辅导 </w:t>
      </w:r>
    </w:p>
    <w:p w14:paraId="1E06ED3A">
      <w:pPr>
        <w:rPr>
          <w:rFonts w:hint="eastAsia" w:ascii="仿宋_GB2312" w:eastAsia="仿宋_GB2312"/>
          <w:kern w:val="0"/>
          <w:sz w:val="32"/>
          <w:szCs w:val="32"/>
          <w:shd w:val="clear" w:color="auto" w:fill="FFFFFF"/>
        </w:rPr>
      </w:pPr>
      <w:r>
        <w:rPr>
          <w:rFonts w:hint="eastAsia" w:ascii="仿宋_GB2312" w:eastAsia="仿宋_GB2312"/>
          <w:kern w:val="0"/>
          <w:sz w:val="32"/>
          <w:szCs w:val="32"/>
          <w:shd w:val="clear" w:color="auto" w:fill="FFFFFF"/>
        </w:rPr>
        <w:t xml:space="preserve">- 快速响应：自材料提交次日起20个工作日内出具书面指导意见（含补充材料建议） </w:t>
      </w:r>
    </w:p>
    <w:p w14:paraId="1BEC4F5A">
      <w:pPr>
        <w:numPr>
          <w:ilvl w:val="0"/>
          <w:numId w:val="1"/>
        </w:numPr>
        <w:ind w:left="0" w:leftChars="0" w:firstLine="0" w:firstLineChars="0"/>
        <w:rPr>
          <w:rFonts w:hint="eastAsia" w:ascii="仿宋_GB2312" w:eastAsia="仿宋_GB2312"/>
          <w:kern w:val="0"/>
          <w:sz w:val="32"/>
          <w:szCs w:val="32"/>
          <w:shd w:val="clear" w:color="auto" w:fill="FFFFFF"/>
          <w:lang w:val="en-US" w:eastAsia="zh-CN"/>
        </w:rPr>
      </w:pPr>
      <w:r>
        <w:rPr>
          <w:rFonts w:hint="eastAsia" w:ascii="仿宋_GB2312" w:eastAsia="仿宋_GB2312"/>
          <w:kern w:val="0"/>
          <w:sz w:val="32"/>
          <w:szCs w:val="32"/>
          <w:shd w:val="clear" w:color="auto" w:fill="FFFFFF"/>
          <w:lang w:val="en-US" w:eastAsia="zh-CN"/>
        </w:rPr>
        <w:t>受理前服务的申报流程简图</w:t>
      </w:r>
    </w:p>
    <w:p w14:paraId="4A92F197">
      <w:pPr>
        <w:rPr>
          <w:rFonts w:hint="default" w:ascii="仿宋_GB2312" w:eastAsia="仿宋_GB2312"/>
          <w:kern w:val="0"/>
          <w:sz w:val="32"/>
          <w:szCs w:val="32"/>
          <w:shd w:val="clear" w:color="auto" w:fill="FFFFFF"/>
          <w:lang w:val="en-US" w:eastAsia="zh-CN"/>
        </w:rPr>
      </w:pPr>
      <w:r>
        <w:rPr>
          <w:rFonts w:hint="eastAsia" w:ascii="仿宋_GB2312" w:eastAsia="仿宋_GB2312"/>
          <w:kern w:val="0"/>
          <w:sz w:val="32"/>
          <w:szCs w:val="32"/>
          <w:shd w:val="clear" w:color="auto" w:fill="FFFFFF"/>
          <w:lang w:val="en-US" w:eastAsia="zh-CN"/>
        </w:rPr>
        <w:t>1、北京市医疗器械注册申请人可在北京市人民政府搜索“北京市政务服务网”。</w:t>
      </w:r>
    </w:p>
    <w:p w14:paraId="705DF6E0">
      <w:pPr>
        <w:jc w:val="center"/>
      </w:pPr>
      <w:r>
        <w:drawing>
          <wp:inline distT="0" distB="0" distL="114300" distR="114300">
            <wp:extent cx="5238115" cy="2686050"/>
            <wp:effectExtent l="0" t="0" r="6985" b="635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238115" cy="2686050"/>
                    </a:xfrm>
                    <a:prstGeom prst="rect">
                      <a:avLst/>
                    </a:prstGeom>
                  </pic:spPr>
                </pic:pic>
              </a:graphicData>
            </a:graphic>
          </wp:inline>
        </w:drawing>
      </w:r>
    </w:p>
    <w:p w14:paraId="78E9A156">
      <w:pPr>
        <w:numPr>
          <w:ilvl w:val="0"/>
          <w:numId w:val="0"/>
        </w:numPr>
        <w:ind w:leftChars="0"/>
        <w:rPr>
          <w:rFonts w:hint="eastAsia" w:ascii="仿宋_GB2312" w:eastAsia="仿宋_GB2312"/>
          <w:kern w:val="0"/>
          <w:sz w:val="32"/>
          <w:szCs w:val="32"/>
          <w:shd w:val="clear" w:color="auto" w:fill="FFFFFF"/>
          <w:lang w:val="en-US" w:eastAsia="zh-CN"/>
        </w:rPr>
      </w:pPr>
      <w:r>
        <w:rPr>
          <w:rFonts w:hint="eastAsia" w:ascii="仿宋_GB2312" w:eastAsia="仿宋_GB2312"/>
          <w:kern w:val="0"/>
          <w:sz w:val="32"/>
          <w:szCs w:val="32"/>
          <w:shd w:val="clear" w:color="auto" w:fill="FFFFFF"/>
          <w:lang w:val="en-US" w:eastAsia="zh-CN"/>
        </w:rPr>
        <w:t>2、通过北京市政务服务网输入相关办理事项，如“国产第二类医疗器械首次注册”,点击网上办理。</w:t>
      </w:r>
    </w:p>
    <w:p w14:paraId="0A936F2A">
      <w:pPr>
        <w:jc w:val="center"/>
        <w:rPr>
          <w:rFonts w:hint="eastAsia" w:eastAsia="宋体"/>
          <w:lang w:val="en-US" w:eastAsia="zh-CN"/>
        </w:rPr>
      </w:pPr>
    </w:p>
    <w:p w14:paraId="7F318237">
      <w:pPr>
        <w:jc w:val="center"/>
        <w:rPr>
          <w:rFonts w:hint="eastAsia" w:ascii="仿宋_GB2312" w:eastAsia="仿宋_GB2312"/>
          <w:color w:val="000000" w:themeColor="text1"/>
          <w:kern w:val="0"/>
          <w:sz w:val="32"/>
          <w:szCs w:val="32"/>
          <w:shd w:val="clear" w:color="auto" w:fill="FFFFFF"/>
          <w:lang w:val="en-US" w:eastAsia="zh-CN"/>
          <w14:textFill>
            <w14:solidFill>
              <w14:schemeClr w14:val="tx1"/>
            </w14:solidFill>
          </w14:textFill>
        </w:rPr>
      </w:pPr>
      <w:r>
        <w:rPr>
          <w:rFonts w:hint="eastAsia" w:ascii="仿宋_GB2312" w:eastAsia="仿宋_GB2312"/>
          <w:color w:val="000000" w:themeColor="text1"/>
          <w:kern w:val="0"/>
          <w:sz w:val="32"/>
          <w:szCs w:val="32"/>
          <w:shd w:val="clear" w:color="auto" w:fill="FFFFFF"/>
          <w:lang w:val="en-US" w:eastAsia="zh-CN"/>
          <w14:textFill>
            <w14:solidFill>
              <w14:schemeClr w14:val="tx1"/>
            </w14:solidFill>
          </w14:textFill>
        </w:rPr>
        <w:drawing>
          <wp:inline distT="0" distB="0" distL="114300" distR="114300">
            <wp:extent cx="5238115" cy="2693035"/>
            <wp:effectExtent l="0" t="0" r="6985" b="1206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7"/>
                    <a:stretch>
                      <a:fillRect/>
                    </a:stretch>
                  </pic:blipFill>
                  <pic:spPr>
                    <a:xfrm>
                      <a:off x="0" y="0"/>
                      <a:ext cx="5238115" cy="2693035"/>
                    </a:xfrm>
                    <a:prstGeom prst="rect">
                      <a:avLst/>
                    </a:prstGeom>
                  </pic:spPr>
                </pic:pic>
              </a:graphicData>
            </a:graphic>
          </wp:inline>
        </w:drawing>
      </w:r>
    </w:p>
    <w:p w14:paraId="7E2FF6DA">
      <w:pPr>
        <w:numPr>
          <w:ilvl w:val="0"/>
          <w:numId w:val="3"/>
        </w:numPr>
        <w:rPr>
          <w:rFonts w:hint="eastAsia" w:ascii="仿宋_GB2312" w:eastAsia="仿宋_GB2312"/>
          <w:color w:val="000000" w:themeColor="text1"/>
          <w:kern w:val="0"/>
          <w:sz w:val="32"/>
          <w:szCs w:val="32"/>
          <w:shd w:val="clear" w:color="auto" w:fill="FFFFFF"/>
          <w:lang w:val="en-US" w:eastAsia="zh-CN"/>
          <w14:textFill>
            <w14:solidFill>
              <w14:schemeClr w14:val="tx1"/>
            </w14:solidFill>
          </w14:textFill>
        </w:rPr>
      </w:pPr>
      <w:r>
        <w:rPr>
          <w:rFonts w:hint="eastAsia" w:ascii="仿宋_GB2312" w:eastAsia="仿宋_GB2312"/>
          <w:color w:val="000000" w:themeColor="text1"/>
          <w:kern w:val="0"/>
          <w:sz w:val="32"/>
          <w:szCs w:val="32"/>
          <w:shd w:val="clear" w:color="auto" w:fill="FFFFFF"/>
          <w:lang w:val="en-US" w:eastAsia="zh-CN"/>
          <w14:textFill>
            <w14:solidFill>
              <w14:schemeClr w14:val="tx1"/>
            </w14:solidFill>
          </w14:textFill>
        </w:rPr>
        <w:t>点击“我要申报”，企业可依据自身实际需求选择所要办理的事项，如“首次注册”、“变更注册”、“延续注册”。</w:t>
      </w:r>
    </w:p>
    <w:p w14:paraId="4FEAB49B">
      <w:pPr>
        <w:numPr>
          <w:ilvl w:val="0"/>
          <w:numId w:val="0"/>
        </w:numPr>
        <w:rPr>
          <w:rFonts w:hint="eastAsia" w:ascii="仿宋_GB2312" w:eastAsia="仿宋_GB2312"/>
          <w:color w:val="C00000"/>
          <w:kern w:val="0"/>
          <w:sz w:val="32"/>
          <w:szCs w:val="32"/>
          <w:shd w:val="clear" w:color="auto" w:fill="FFFFFF"/>
          <w:lang w:val="en-US" w:eastAsia="zh-CN"/>
        </w:rPr>
      </w:pPr>
      <w:r>
        <w:rPr>
          <w:rFonts w:hint="default" w:ascii="仿宋_GB2312" w:eastAsia="仿宋_GB2312"/>
          <w:color w:val="C00000"/>
          <w:kern w:val="0"/>
          <w:sz w:val="32"/>
          <w:szCs w:val="32"/>
          <w:shd w:val="clear" w:color="auto" w:fill="FFFFFF"/>
          <w:lang w:val="en-US" w:eastAsia="zh-CN"/>
        </w:rPr>
        <w:drawing>
          <wp:inline distT="0" distB="0" distL="114300" distR="114300">
            <wp:extent cx="5259705" cy="2285365"/>
            <wp:effectExtent l="0" t="0" r="10795" b="635"/>
            <wp:docPr id="3" name="图片 3" descr="0a29cb5a310a486df9637fa6952d0a8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a29cb5a310a486df9637fa6952d0a86_"/>
                    <pic:cNvPicPr>
                      <a:picLocks noChangeAspect="1"/>
                    </pic:cNvPicPr>
                  </pic:nvPicPr>
                  <pic:blipFill>
                    <a:blip r:embed="rId8"/>
                    <a:stretch>
                      <a:fillRect/>
                    </a:stretch>
                  </pic:blipFill>
                  <pic:spPr>
                    <a:xfrm>
                      <a:off x="0" y="0"/>
                      <a:ext cx="5259705" cy="2285365"/>
                    </a:xfrm>
                    <a:prstGeom prst="rect">
                      <a:avLst/>
                    </a:prstGeom>
                  </pic:spPr>
                </pic:pic>
              </a:graphicData>
            </a:graphic>
          </wp:inline>
        </w:drawing>
      </w:r>
    </w:p>
    <w:p w14:paraId="41F7070E">
      <w:pPr>
        <w:numPr>
          <w:ilvl w:val="0"/>
          <w:numId w:val="0"/>
        </w:numPr>
        <w:ind w:left="0" w:leftChars="0"/>
        <w:rPr>
          <w:rFonts w:hint="default" w:ascii="仿宋_GB2312" w:eastAsia="仿宋_GB2312"/>
          <w:color w:val="auto"/>
          <w:kern w:val="0"/>
          <w:sz w:val="32"/>
          <w:szCs w:val="32"/>
          <w:shd w:val="clear" w:color="auto" w:fill="FFFFFF"/>
          <w:lang w:val="en-US" w:eastAsia="zh-CN"/>
        </w:rPr>
      </w:pPr>
      <w:r>
        <w:rPr>
          <w:rFonts w:hint="default" w:ascii="仿宋_GB2312" w:hAnsi="Calibri" w:eastAsia="仿宋_GB2312" w:cs="Times New Roman"/>
          <w:color w:val="auto"/>
          <w:kern w:val="0"/>
          <w:sz w:val="32"/>
          <w:szCs w:val="32"/>
          <w:shd w:val="clear" w:fill="FFFFFF"/>
          <w:lang w:val="en-US" w:eastAsia="zh-CN" w:bidi="ar-SA"/>
          <w14:ligatures w14:val="none"/>
        </w:rPr>
        <w:t>4、</w:t>
      </w:r>
      <w:r>
        <w:rPr>
          <w:rFonts w:hint="eastAsia" w:ascii="仿宋_GB2312" w:eastAsia="仿宋_GB2312"/>
          <w:color w:val="auto"/>
          <w:kern w:val="0"/>
          <w:sz w:val="32"/>
          <w:szCs w:val="32"/>
          <w:shd w:val="clear" w:color="auto" w:fill="FFFFFF"/>
          <w:lang w:val="en-US" w:eastAsia="zh-CN"/>
        </w:rPr>
        <w:t>在“申报信息”菜单栏准确填写申报企业的主体信息及委托人信息。</w:t>
      </w:r>
    </w:p>
    <w:p w14:paraId="5C187378">
      <w:pPr>
        <w:numPr>
          <w:ilvl w:val="0"/>
          <w:numId w:val="0"/>
        </w:numPr>
        <w:rPr>
          <w:rFonts w:hint="eastAsia" w:eastAsia="宋体"/>
          <w:lang w:eastAsia="zh-CN"/>
        </w:rPr>
      </w:pPr>
      <w:r>
        <w:drawing>
          <wp:inline distT="0" distB="0" distL="114300" distR="114300">
            <wp:extent cx="5273675" cy="2788920"/>
            <wp:effectExtent l="0" t="0" r="952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73675" cy="2788920"/>
                    </a:xfrm>
                    <a:prstGeom prst="rect">
                      <a:avLst/>
                    </a:prstGeom>
                    <a:noFill/>
                    <a:ln>
                      <a:noFill/>
                    </a:ln>
                  </pic:spPr>
                </pic:pic>
              </a:graphicData>
            </a:graphic>
          </wp:inline>
        </w:drawing>
      </w:r>
    </w:p>
    <w:p w14:paraId="306AED50">
      <w:pPr>
        <w:numPr>
          <w:ilvl w:val="0"/>
          <w:numId w:val="0"/>
        </w:numPr>
        <w:ind w:left="0" w:leftChars="0"/>
        <w:rPr>
          <w:rFonts w:hint="default" w:ascii="仿宋_GB2312" w:eastAsia="仿宋_GB2312"/>
          <w:color w:val="auto"/>
          <w:kern w:val="0"/>
          <w:sz w:val="32"/>
          <w:szCs w:val="32"/>
          <w:shd w:val="clear" w:color="auto" w:fill="FFFFFF"/>
          <w:lang w:val="en-US" w:eastAsia="zh-CN"/>
        </w:rPr>
      </w:pPr>
      <w:r>
        <w:rPr>
          <w:rFonts w:hint="default" w:ascii="仿宋_GB2312" w:hAnsi="Calibri" w:eastAsia="仿宋_GB2312" w:cs="Times New Roman"/>
          <w:color w:val="auto"/>
          <w:kern w:val="0"/>
          <w:sz w:val="32"/>
          <w:szCs w:val="32"/>
          <w:shd w:val="clear" w:fill="FFFFFF"/>
          <w:lang w:val="en-US" w:eastAsia="zh-CN" w:bidi="ar-SA"/>
          <w14:ligatures w14:val="none"/>
        </w:rPr>
        <w:t>5、</w:t>
      </w:r>
      <w:r>
        <w:rPr>
          <w:rFonts w:hint="eastAsia" w:ascii="仿宋_GB2312" w:eastAsia="仿宋_GB2312"/>
          <w:color w:val="auto"/>
          <w:kern w:val="0"/>
          <w:sz w:val="32"/>
          <w:szCs w:val="32"/>
          <w:shd w:val="clear" w:color="auto" w:fill="FFFFFF"/>
          <w:lang w:val="en-US" w:eastAsia="zh-CN"/>
        </w:rPr>
        <w:t>在填报资料栏需提交第二类医疗器械产品首次注册申请表、注册申请人基本情况表、拟核查产品与既往已通过产品对比说明（若有）、授权委托书。</w:t>
      </w:r>
    </w:p>
    <w:p w14:paraId="34B2C1BE">
      <w:pPr>
        <w:numPr>
          <w:ilvl w:val="0"/>
          <w:numId w:val="0"/>
        </w:numPr>
        <w:rPr>
          <w:rFonts w:hint="default" w:ascii="仿宋_GB2312" w:eastAsia="仿宋_GB2312"/>
          <w:color w:val="auto"/>
          <w:kern w:val="0"/>
          <w:sz w:val="32"/>
          <w:szCs w:val="32"/>
          <w:shd w:val="clear" w:color="auto" w:fill="FFFFFF"/>
          <w:lang w:val="en-US" w:eastAsia="zh-CN"/>
        </w:rPr>
      </w:pPr>
      <w:bookmarkStart w:id="0" w:name="_GoBack"/>
      <w:r>
        <w:drawing>
          <wp:inline distT="0" distB="0" distL="114300" distR="114300">
            <wp:extent cx="5273040" cy="2540635"/>
            <wp:effectExtent l="0" t="0" r="10160" b="1206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0"/>
                    <a:stretch>
                      <a:fillRect/>
                    </a:stretch>
                  </pic:blipFill>
                  <pic:spPr>
                    <a:xfrm>
                      <a:off x="0" y="0"/>
                      <a:ext cx="5273040" cy="2540635"/>
                    </a:xfrm>
                    <a:prstGeom prst="rect">
                      <a:avLst/>
                    </a:prstGeom>
                    <a:noFill/>
                    <a:ln>
                      <a:noFill/>
                    </a:ln>
                  </pic:spPr>
                </pic:pic>
              </a:graphicData>
            </a:graphic>
          </wp:inline>
        </w:drawing>
      </w:r>
      <w:bookmarkEnd w:id="0"/>
    </w:p>
    <w:p w14:paraId="2EA253B4">
      <w:pPr>
        <w:rPr>
          <w:rFonts w:hint="default" w:ascii="仿宋_GB2312" w:eastAsia="仿宋_GB2312"/>
          <w:kern w:val="0"/>
          <w:sz w:val="32"/>
          <w:szCs w:val="32"/>
          <w:shd w:val="clear" w:color="auto" w:fill="FFFFFF"/>
          <w:lang w:val="en-US" w:eastAsia="zh-CN"/>
        </w:rPr>
      </w:pPr>
      <w:r>
        <w:rPr>
          <w:rFonts w:hint="eastAsia" w:ascii="仿宋_GB2312" w:eastAsia="仿宋_GB2312"/>
          <w:kern w:val="0"/>
          <w:sz w:val="32"/>
          <w:szCs w:val="32"/>
          <w:shd w:val="clear" w:color="auto" w:fill="FFFFFF"/>
          <w:lang w:val="en-US" w:eastAsia="zh-CN"/>
        </w:rPr>
        <w:t>6、</w:t>
      </w:r>
      <w:r>
        <w:rPr>
          <w:rFonts w:hint="default" w:ascii="仿宋_GB2312" w:eastAsia="仿宋_GB2312"/>
          <w:kern w:val="0"/>
          <w:sz w:val="32"/>
          <w:szCs w:val="32"/>
          <w:shd w:val="clear" w:color="auto" w:fill="FFFFFF"/>
          <w:lang w:val="en-US" w:eastAsia="zh-CN"/>
        </w:rPr>
        <w:t>根据erps目录及自身情况，准确上传申报资料，红色(R-必须提交)；绿色(CR-适用时提交)。所有材料上传完毕，需点击</w:t>
      </w:r>
      <w:r>
        <w:rPr>
          <w:rFonts w:hint="eastAsia" w:ascii="仿宋_GB2312" w:eastAsia="仿宋_GB2312"/>
          <w:kern w:val="0"/>
          <w:sz w:val="32"/>
          <w:szCs w:val="32"/>
          <w:shd w:val="clear" w:color="auto" w:fill="FFFFFF"/>
          <w:lang w:val="en-US" w:eastAsia="zh-CN"/>
        </w:rPr>
        <w:t>“</w:t>
      </w:r>
      <w:r>
        <w:rPr>
          <w:rFonts w:hint="default" w:ascii="仿宋_GB2312" w:eastAsia="仿宋_GB2312"/>
          <w:kern w:val="0"/>
          <w:sz w:val="32"/>
          <w:szCs w:val="32"/>
          <w:shd w:val="clear" w:color="auto" w:fill="FFFFFF"/>
          <w:lang w:val="en-US" w:eastAsia="zh-CN"/>
        </w:rPr>
        <w:t>关联材料</w:t>
      </w:r>
      <w:r>
        <w:rPr>
          <w:rFonts w:hint="eastAsia" w:ascii="仿宋_GB2312" w:eastAsia="仿宋_GB2312"/>
          <w:kern w:val="0"/>
          <w:sz w:val="32"/>
          <w:szCs w:val="32"/>
          <w:shd w:val="clear" w:color="auto" w:fill="FFFFFF"/>
          <w:lang w:val="en-US" w:eastAsia="zh-CN"/>
        </w:rPr>
        <w:t>”</w:t>
      </w:r>
      <w:r>
        <w:rPr>
          <w:rFonts w:hint="default" w:ascii="仿宋_GB2312" w:eastAsia="仿宋_GB2312"/>
          <w:kern w:val="0"/>
          <w:sz w:val="32"/>
          <w:szCs w:val="32"/>
          <w:shd w:val="clear" w:color="auto" w:fill="FFFFFF"/>
          <w:lang w:val="en-US" w:eastAsia="zh-CN"/>
        </w:rPr>
        <w:t>，将材料逐一关联到erps目录中。</w:t>
      </w:r>
    </w:p>
    <w:p w14:paraId="4883A28D">
      <w:pPr>
        <w:widowControl w:val="0"/>
        <w:numPr>
          <w:ilvl w:val="0"/>
          <w:numId w:val="0"/>
        </w:numPr>
        <w:spacing w:after="0" w:line="240" w:lineRule="auto"/>
        <w:jc w:val="both"/>
        <w:rPr>
          <w:rFonts w:hint="eastAsia" w:ascii="仿宋_GB2312" w:eastAsia="仿宋_GB2312"/>
          <w:color w:val="C00000"/>
          <w:kern w:val="0"/>
          <w:sz w:val="32"/>
          <w:szCs w:val="32"/>
          <w:shd w:val="clear" w:color="auto" w:fill="FFFFFF"/>
          <w:lang w:val="en-US" w:eastAsia="zh-CN"/>
        </w:rPr>
      </w:pPr>
      <w:r>
        <w:drawing>
          <wp:inline distT="0" distB="0" distL="114300" distR="114300">
            <wp:extent cx="5273040" cy="2806065"/>
            <wp:effectExtent l="0" t="0" r="10160" b="63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1"/>
                    <a:stretch>
                      <a:fillRect/>
                    </a:stretch>
                  </pic:blipFill>
                  <pic:spPr>
                    <a:xfrm>
                      <a:off x="0" y="0"/>
                      <a:ext cx="5273040" cy="2806065"/>
                    </a:xfrm>
                    <a:prstGeom prst="rect">
                      <a:avLst/>
                    </a:prstGeom>
                    <a:noFill/>
                    <a:ln>
                      <a:noFill/>
                    </a:ln>
                  </pic:spPr>
                </pic:pic>
              </a:graphicData>
            </a:graphic>
          </wp:inline>
        </w:drawing>
      </w:r>
    </w:p>
    <w:p w14:paraId="7EA4D0BA">
      <w:pPr>
        <w:numPr>
          <w:ilvl w:val="0"/>
          <w:numId w:val="0"/>
        </w:numPr>
        <w:ind w:left="0" w:leftChars="0"/>
        <w:rPr>
          <w:rFonts w:hint="default" w:ascii="仿宋_GB2312" w:eastAsia="仿宋_GB2312"/>
          <w:color w:val="auto"/>
          <w:kern w:val="0"/>
          <w:sz w:val="32"/>
          <w:szCs w:val="32"/>
          <w:shd w:val="clear" w:color="auto" w:fill="FFFFFF"/>
          <w:lang w:val="en-US" w:eastAsia="zh-CN"/>
        </w:rPr>
      </w:pPr>
      <w:r>
        <w:rPr>
          <w:rFonts w:hint="eastAsia" w:ascii="仿宋_GB2312" w:eastAsia="仿宋_GB2312" w:cs="Times New Roman"/>
          <w:color w:val="auto"/>
          <w:kern w:val="0"/>
          <w:sz w:val="32"/>
          <w:szCs w:val="32"/>
          <w:shd w:val="clear" w:fill="FFFFFF"/>
          <w:lang w:val="en-US" w:eastAsia="zh-CN" w:bidi="ar-SA"/>
          <w14:ligatures w14:val="none"/>
        </w:rPr>
        <w:t>7</w:t>
      </w:r>
      <w:r>
        <w:rPr>
          <w:rFonts w:hint="default" w:ascii="仿宋_GB2312" w:hAnsi="Calibri" w:eastAsia="仿宋_GB2312" w:cs="Times New Roman"/>
          <w:color w:val="auto"/>
          <w:kern w:val="0"/>
          <w:sz w:val="32"/>
          <w:szCs w:val="32"/>
          <w:shd w:val="clear" w:fill="FFFFFF"/>
          <w:lang w:val="en-US" w:eastAsia="zh-CN" w:bidi="ar-SA"/>
          <w14:ligatures w14:val="none"/>
        </w:rPr>
        <w:t>、</w:t>
      </w:r>
      <w:r>
        <w:rPr>
          <w:rFonts w:hint="eastAsia" w:ascii="仿宋_GB2312" w:eastAsia="仿宋_GB2312"/>
          <w:color w:val="auto"/>
          <w:kern w:val="0"/>
          <w:sz w:val="32"/>
          <w:szCs w:val="32"/>
          <w:shd w:val="clear" w:color="auto" w:fill="FFFFFF"/>
          <w:lang w:val="en-US" w:eastAsia="zh-CN"/>
        </w:rPr>
        <w:t>点击“受理前服务”按钮，提交本次受理前服务的预审资料。</w:t>
      </w:r>
    </w:p>
    <w:p w14:paraId="7643FA9F">
      <w:pPr>
        <w:numPr>
          <w:ilvl w:val="0"/>
          <w:numId w:val="0"/>
        </w:numPr>
        <w:rPr>
          <w:rFonts w:hint="eastAsia" w:ascii="仿宋_GB2312" w:eastAsia="仿宋_GB2312"/>
          <w:color w:val="C00000"/>
          <w:kern w:val="0"/>
          <w:sz w:val="32"/>
          <w:szCs w:val="32"/>
          <w:shd w:val="clear" w:color="auto" w:fill="FFFFFF"/>
          <w:lang w:val="en-US" w:eastAsia="zh-CN"/>
        </w:rPr>
      </w:pPr>
      <w:r>
        <w:drawing>
          <wp:inline distT="0" distB="0" distL="114300" distR="114300">
            <wp:extent cx="5273040" cy="2636520"/>
            <wp:effectExtent l="0" t="0" r="10160" b="508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2"/>
                    <a:stretch>
                      <a:fillRect/>
                    </a:stretch>
                  </pic:blipFill>
                  <pic:spPr>
                    <a:xfrm>
                      <a:off x="0" y="0"/>
                      <a:ext cx="5273040" cy="2636520"/>
                    </a:xfrm>
                    <a:prstGeom prst="rect">
                      <a:avLst/>
                    </a:prstGeom>
                    <a:noFill/>
                    <a:ln>
                      <a:noFill/>
                    </a:ln>
                  </pic:spPr>
                </pic:pic>
              </a:graphicData>
            </a:graphic>
          </wp:inline>
        </w:drawing>
      </w:r>
    </w:p>
    <w:p w14:paraId="5DBCDEA9">
      <w:pPr>
        <w:numPr>
          <w:ilvl w:val="0"/>
          <w:numId w:val="0"/>
        </w:numPr>
        <w:rPr>
          <w:rFonts w:hint="eastAsia" w:ascii="仿宋_GB2312" w:eastAsia="仿宋_GB2312"/>
          <w:kern w:val="0"/>
          <w:sz w:val="32"/>
          <w:szCs w:val="32"/>
          <w:shd w:val="clear" w:color="auto" w:fill="FFFFFF"/>
        </w:rPr>
      </w:pPr>
      <w:r>
        <w:rPr>
          <w:rFonts w:hint="eastAsia" w:ascii="仿宋_GB2312" w:eastAsia="仿宋_GB2312"/>
          <w:kern w:val="0"/>
          <w:sz w:val="32"/>
          <w:szCs w:val="32"/>
          <w:shd w:val="clear" w:color="auto" w:fill="FFFFFF"/>
        </w:rPr>
        <w:t>三、服务支持</w:t>
      </w:r>
    </w:p>
    <w:p w14:paraId="31B6E2D2">
      <w:pPr>
        <w:ind w:firstLine="640" w:firstLineChars="200"/>
        <w:rPr>
          <w:rFonts w:hint="eastAsia" w:ascii="仿宋_GB2312" w:eastAsia="仿宋_GB2312"/>
          <w:kern w:val="0"/>
          <w:sz w:val="32"/>
          <w:szCs w:val="32"/>
          <w:shd w:val="clear" w:color="auto" w:fill="FFFFFF"/>
        </w:rPr>
      </w:pPr>
      <w:r>
        <w:rPr>
          <w:rFonts w:hint="eastAsia" w:ascii="仿宋_GB2312" w:eastAsia="仿宋_GB2312"/>
          <w:kern w:val="0"/>
          <w:sz w:val="32"/>
          <w:szCs w:val="32"/>
          <w:shd w:val="clear" w:color="auto" w:fill="FFFFFF"/>
        </w:rPr>
        <w:t>1. 系统操作疑问，请咨询服务热线：400-900-1866（工作日9:00-17:30）</w:t>
      </w:r>
    </w:p>
    <w:p w14:paraId="50285B91">
      <w:pPr>
        <w:ind w:firstLine="640" w:firstLineChars="200"/>
        <w:rPr>
          <w:rFonts w:hint="eastAsia" w:ascii="仿宋_GB2312" w:eastAsia="仿宋_GB2312"/>
          <w:kern w:val="0"/>
          <w:sz w:val="32"/>
          <w:szCs w:val="32"/>
          <w:shd w:val="clear" w:color="auto" w:fill="FFFFFF"/>
        </w:rPr>
      </w:pPr>
      <w:r>
        <w:rPr>
          <w:rFonts w:hint="eastAsia" w:ascii="仿宋_GB2312" w:eastAsia="仿宋_GB2312"/>
          <w:kern w:val="0"/>
          <w:sz w:val="32"/>
          <w:szCs w:val="32"/>
          <w:shd w:val="clear" w:color="auto" w:fill="FFFFFF"/>
        </w:rPr>
        <w:t>2. 提交材料内容疑问，请咨询服务热线：010-55527147（工作日9:00-17:30）</w:t>
      </w:r>
    </w:p>
    <w:p w14:paraId="544B278A">
      <w:pPr>
        <w:ind w:firstLine="640" w:firstLineChars="200"/>
        <w:rPr>
          <w:rFonts w:hint="eastAsia" w:ascii="仿宋_GB2312" w:eastAsia="仿宋_GB2312"/>
          <w:kern w:val="0"/>
          <w:sz w:val="32"/>
          <w:szCs w:val="32"/>
          <w:shd w:val="clear" w:color="auto" w:fill="FFFFFF"/>
        </w:rPr>
      </w:pPr>
      <w:r>
        <w:rPr>
          <w:rFonts w:hint="eastAsia" w:ascii="仿宋_GB2312" w:eastAsia="仿宋_GB2312"/>
          <w:kern w:val="0"/>
          <w:sz w:val="32"/>
          <w:szCs w:val="32"/>
          <w:shd w:val="clear" w:color="auto" w:fill="FFFFFF"/>
        </w:rPr>
        <w:t>3. 其他方式：京通小程序搜索</w:t>
      </w:r>
      <w:r>
        <w:rPr>
          <w:rFonts w:hint="eastAsia" w:ascii="仿宋_GB2312" w:eastAsia="仿宋_GB2312"/>
          <w:kern w:val="0"/>
          <w:sz w:val="32"/>
          <w:szCs w:val="32"/>
          <w:shd w:val="clear" w:color="auto" w:fill="FFFFFF"/>
          <w:lang w:eastAsia="zh-CN"/>
        </w:rPr>
        <w:t>“</w:t>
      </w:r>
      <w:r>
        <w:rPr>
          <w:rFonts w:hint="eastAsia" w:ascii="仿宋_GB2312" w:eastAsia="仿宋_GB2312"/>
          <w:kern w:val="0"/>
          <w:sz w:val="32"/>
          <w:szCs w:val="32"/>
          <w:shd w:val="clear" w:color="auto" w:fill="FFFFFF"/>
          <w:lang w:val="en-US" w:eastAsia="zh-CN"/>
        </w:rPr>
        <w:t>医疗器械审评咨询</w:t>
      </w:r>
      <w:r>
        <w:rPr>
          <w:rFonts w:hint="eastAsia" w:ascii="仿宋_GB2312" w:eastAsia="仿宋_GB2312"/>
          <w:kern w:val="0"/>
          <w:sz w:val="32"/>
          <w:szCs w:val="32"/>
          <w:shd w:val="clear" w:color="auto" w:fill="FFFFFF"/>
          <w:lang w:eastAsia="zh-CN"/>
        </w:rPr>
        <w:t>”，</w:t>
      </w:r>
      <w:r>
        <w:rPr>
          <w:rFonts w:hint="eastAsia" w:ascii="仿宋_GB2312" w:eastAsia="仿宋_GB2312"/>
          <w:kern w:val="0"/>
          <w:sz w:val="32"/>
          <w:szCs w:val="32"/>
          <w:shd w:val="clear" w:color="auto" w:fill="FFFFFF"/>
          <w:lang w:val="en-US" w:eastAsia="zh-CN"/>
        </w:rPr>
        <w:t>进入“</w:t>
      </w:r>
      <w:r>
        <w:rPr>
          <w:rFonts w:hint="eastAsia" w:ascii="仿宋_GB2312" w:eastAsia="仿宋_GB2312"/>
          <w:kern w:val="0"/>
          <w:sz w:val="32"/>
          <w:szCs w:val="32"/>
          <w:shd w:val="clear" w:color="auto" w:fill="FFFFFF"/>
        </w:rPr>
        <w:t>北京器审咨询和预约系统</w:t>
      </w:r>
      <w:r>
        <w:rPr>
          <w:rFonts w:hint="eastAsia" w:ascii="仿宋_GB2312" w:eastAsia="仿宋_GB2312"/>
          <w:kern w:val="0"/>
          <w:sz w:val="32"/>
          <w:szCs w:val="32"/>
          <w:shd w:val="clear" w:color="auto" w:fill="FFFFFF"/>
          <w:lang w:val="en-US" w:eastAsia="zh-CN"/>
        </w:rPr>
        <w:t>”</w:t>
      </w:r>
      <w:r>
        <w:rPr>
          <w:rFonts w:hint="eastAsia" w:ascii="仿宋_GB2312" w:eastAsia="仿宋_GB2312"/>
          <w:kern w:val="0"/>
          <w:sz w:val="32"/>
          <w:szCs w:val="32"/>
          <w:shd w:val="clear" w:color="auto" w:fill="FFFFFF"/>
        </w:rPr>
        <w:t>，选择网上问答咨询或预约现场沟通。</w:t>
      </w:r>
    </w:p>
    <w:p w14:paraId="3C3B65F3">
      <w:pPr>
        <w:ind w:firstLine="640" w:firstLineChars="200"/>
        <w:rPr>
          <w:rFonts w:hint="eastAsia" w:ascii="仿宋_GB2312" w:eastAsia="仿宋_GB2312"/>
          <w:kern w:val="0"/>
          <w:sz w:val="32"/>
          <w:szCs w:val="32"/>
          <w:shd w:val="clear" w:color="auto" w:fill="FFFFFF"/>
        </w:rPr>
      </w:pPr>
      <w:r>
        <w:rPr>
          <w:rFonts w:hint="eastAsia" w:ascii="仿宋_GB2312" w:eastAsia="仿宋_GB2312"/>
          <w:kern w:val="0"/>
          <w:sz w:val="32"/>
          <w:szCs w:val="32"/>
          <w:shd w:val="clear" w:color="auto" w:fill="FFFFFF"/>
        </w:rPr>
        <w:t>请各企业结合自身发展阶段，科学规划申报路径，充分发挥</w:t>
      </w:r>
      <w:r>
        <w:rPr>
          <w:rFonts w:hint="eastAsia" w:ascii="仿宋_GB2312" w:eastAsia="仿宋_GB2312"/>
          <w:kern w:val="0"/>
          <w:sz w:val="32"/>
          <w:szCs w:val="32"/>
          <w:shd w:val="clear" w:color="auto" w:fill="FFFFFF"/>
          <w:lang w:eastAsia="zh-CN"/>
        </w:rPr>
        <w:t>“</w:t>
      </w:r>
      <w:r>
        <w:rPr>
          <w:rFonts w:hint="eastAsia" w:ascii="仿宋_GB2312" w:eastAsia="仿宋_GB2312"/>
          <w:kern w:val="0"/>
          <w:sz w:val="32"/>
          <w:szCs w:val="32"/>
          <w:shd w:val="clear" w:color="auto" w:fill="FFFFFF"/>
          <w:lang w:val="en-US" w:eastAsia="zh-CN"/>
        </w:rPr>
        <w:t>受理前服务</w:t>
      </w:r>
      <w:r>
        <w:rPr>
          <w:rFonts w:hint="eastAsia" w:ascii="仿宋_GB2312" w:eastAsia="仿宋_GB2312"/>
          <w:kern w:val="0"/>
          <w:sz w:val="32"/>
          <w:szCs w:val="32"/>
          <w:shd w:val="clear" w:color="auto" w:fill="FFFFFF"/>
          <w:lang w:eastAsia="zh-CN"/>
        </w:rPr>
        <w:t>”</w:t>
      </w:r>
      <w:r>
        <w:rPr>
          <w:rFonts w:hint="eastAsia" w:ascii="仿宋_GB2312" w:eastAsia="仿宋_GB2312"/>
          <w:kern w:val="0"/>
          <w:sz w:val="32"/>
          <w:szCs w:val="32"/>
          <w:shd w:val="clear" w:color="auto" w:fill="FFFFFF"/>
        </w:rPr>
        <w:t>效能。让我们携手构建</w:t>
      </w:r>
      <w:r>
        <w:rPr>
          <w:rFonts w:hint="eastAsia" w:ascii="仿宋_GB2312" w:eastAsia="仿宋_GB2312"/>
          <w:kern w:val="0"/>
          <w:sz w:val="32"/>
          <w:szCs w:val="32"/>
          <w:shd w:val="clear" w:color="auto" w:fill="FFFFFF"/>
          <w:lang w:eastAsia="zh-CN"/>
        </w:rPr>
        <w:t>“</w:t>
      </w:r>
      <w:r>
        <w:rPr>
          <w:rFonts w:hint="eastAsia" w:ascii="仿宋_GB2312" w:eastAsia="仿宋_GB2312"/>
          <w:kern w:val="0"/>
          <w:sz w:val="32"/>
          <w:szCs w:val="32"/>
          <w:shd w:val="clear" w:color="auto" w:fill="FFFFFF"/>
        </w:rPr>
        <w:t>标准共商、过程共管、成果共享</w:t>
      </w:r>
      <w:r>
        <w:rPr>
          <w:rFonts w:hint="eastAsia" w:ascii="仿宋_GB2312" w:eastAsia="仿宋_GB2312"/>
          <w:kern w:val="0"/>
          <w:sz w:val="32"/>
          <w:szCs w:val="32"/>
          <w:shd w:val="clear" w:color="auto" w:fill="FFFFFF"/>
          <w:lang w:eastAsia="zh-CN"/>
        </w:rPr>
        <w:t>”</w:t>
      </w:r>
      <w:r>
        <w:rPr>
          <w:rFonts w:hint="eastAsia" w:ascii="仿宋_GB2312" w:eastAsia="仿宋_GB2312"/>
          <w:kern w:val="0"/>
          <w:sz w:val="32"/>
          <w:szCs w:val="32"/>
          <w:shd w:val="clear" w:color="auto" w:fill="FFFFFF"/>
        </w:rPr>
        <w:t>的审评服务新生态，为促进首都医疗器械产业高质量发展注入新动能。</w:t>
      </w:r>
    </w:p>
    <w:p w14:paraId="4DC2E36F">
      <w:pPr>
        <w:wordWrap w:val="0"/>
        <w:jc w:val="right"/>
        <w:rPr>
          <w:rFonts w:hint="eastAsia" w:ascii="仿宋_GB2312" w:eastAsia="仿宋_GB2312"/>
          <w:kern w:val="0"/>
          <w:sz w:val="32"/>
          <w:szCs w:val="32"/>
          <w:shd w:val="clear" w:color="auto" w:fill="FFFFFF"/>
        </w:rPr>
      </w:pPr>
      <w:r>
        <w:rPr>
          <w:rFonts w:hint="eastAsia" w:ascii="仿宋_GB2312" w:eastAsia="仿宋_GB2312"/>
          <w:kern w:val="0"/>
          <w:sz w:val="32"/>
          <w:szCs w:val="32"/>
          <w:shd w:val="clear" w:color="auto" w:fill="FFFFFF"/>
        </w:rPr>
        <w:t xml:space="preserve"> </w:t>
      </w:r>
    </w:p>
    <w:p w14:paraId="489BF017">
      <w:pPr>
        <w:wordWrap w:val="0"/>
        <w:jc w:val="right"/>
        <w:rPr>
          <w:rFonts w:hint="eastAsia" w:ascii="仿宋_GB2312" w:eastAsia="仿宋_GB2312"/>
          <w:kern w:val="0"/>
          <w:sz w:val="32"/>
          <w:szCs w:val="32"/>
          <w:shd w:val="clear" w:color="auto" w:fill="FFFFFF"/>
        </w:rPr>
      </w:pPr>
      <w:r>
        <w:rPr>
          <w:rFonts w:hint="eastAsia" w:ascii="仿宋_GB2312" w:eastAsia="仿宋_GB2312"/>
          <w:kern w:val="0"/>
          <w:sz w:val="32"/>
          <w:szCs w:val="32"/>
          <w:shd w:val="clear" w:color="auto" w:fill="FFFFFF"/>
        </w:rPr>
        <w:t xml:space="preserve"> </w:t>
      </w:r>
    </w:p>
    <w:p w14:paraId="0F24E0C3">
      <w:pPr>
        <w:wordWrap w:val="0"/>
        <w:jc w:val="right"/>
        <w:rPr>
          <w:rFonts w:hint="eastAsia"/>
        </w:rPr>
      </w:pPr>
      <w:r>
        <w:rPr>
          <w:rFonts w:hint="eastAsia" w:ascii="仿宋_GB2312" w:eastAsia="仿宋_GB2312"/>
          <w:kern w:val="0"/>
          <w:sz w:val="32"/>
          <w:szCs w:val="32"/>
          <w:shd w:val="clear" w:color="auto" w:fill="FFFFFF"/>
        </w:rPr>
        <w:t xml:space="preserve"> </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font>
  <w:font w:name="CESI小标宋-GB2312">
    <w:altName w:val="Calibri"/>
    <w:panose1 w:val="00000000000000000000"/>
    <w:charset w:val="00"/>
    <w:family w:val="auto"/>
    <w:pitch w:val="default"/>
    <w:sig w:usb0="00000000" w:usb1="00000000" w:usb2="00000000" w:usb3="00000000" w:csb0="00000000" w:csb1="00000000"/>
  </w:font>
  <w:font w:name="CESI仿宋-GB2312">
    <w:altName w:val="Calibri"/>
    <w:panose1 w:val="00000000000000000000"/>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9C3AE0"/>
    <w:multiLevelType w:val="singleLevel"/>
    <w:tmpl w:val="C79C3AE0"/>
    <w:lvl w:ilvl="0" w:tentative="0">
      <w:start w:val="3"/>
      <w:numFmt w:val="decimal"/>
      <w:suff w:val="nothing"/>
      <w:lvlText w:val="%1、"/>
      <w:lvlJc w:val="left"/>
    </w:lvl>
  </w:abstractNum>
  <w:abstractNum w:abstractNumId="1">
    <w:nsid w:val="6B667988"/>
    <w:multiLevelType w:val="multilevel"/>
    <w:tmpl w:val="6B667988"/>
    <w:lvl w:ilvl="0" w:tentative="0">
      <w:start w:val="1"/>
      <w:numFmt w:val="chineseCounting"/>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70554A24"/>
    <w:multiLevelType w:val="multilevel"/>
    <w:tmpl w:val="70554A24"/>
    <w:lvl w:ilvl="0" w:tentative="0">
      <w:start w:val="1"/>
      <w:numFmt w:val="decimal"/>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8D8"/>
    <w:rsid w:val="001558D8"/>
    <w:rsid w:val="0064507F"/>
    <w:rsid w:val="00C328E2"/>
    <w:rsid w:val="00EB1183"/>
    <w:rsid w:val="00FB1434"/>
    <w:rsid w:val="015233E3"/>
    <w:rsid w:val="05465FAD"/>
    <w:rsid w:val="05A84572"/>
    <w:rsid w:val="06222576"/>
    <w:rsid w:val="07992CDF"/>
    <w:rsid w:val="0A4D1921"/>
    <w:rsid w:val="0A8B6366"/>
    <w:rsid w:val="0FA91612"/>
    <w:rsid w:val="101C0036"/>
    <w:rsid w:val="11A42091"/>
    <w:rsid w:val="12D52DB7"/>
    <w:rsid w:val="182B350C"/>
    <w:rsid w:val="1CAD0994"/>
    <w:rsid w:val="20D364EF"/>
    <w:rsid w:val="21486EDD"/>
    <w:rsid w:val="265C0D35"/>
    <w:rsid w:val="270F30C5"/>
    <w:rsid w:val="272730F1"/>
    <w:rsid w:val="2A726D79"/>
    <w:rsid w:val="2C646446"/>
    <w:rsid w:val="2C73502A"/>
    <w:rsid w:val="2DB4273A"/>
    <w:rsid w:val="2DDC09C5"/>
    <w:rsid w:val="303D7F1B"/>
    <w:rsid w:val="32A366B2"/>
    <w:rsid w:val="32E77BD8"/>
    <w:rsid w:val="34840E39"/>
    <w:rsid w:val="357D65D2"/>
    <w:rsid w:val="35AF57BD"/>
    <w:rsid w:val="38080D1C"/>
    <w:rsid w:val="3B491430"/>
    <w:rsid w:val="3BC1776D"/>
    <w:rsid w:val="3D0F48FB"/>
    <w:rsid w:val="3DB86D41"/>
    <w:rsid w:val="43287443"/>
    <w:rsid w:val="44202F4A"/>
    <w:rsid w:val="450E5498"/>
    <w:rsid w:val="46FA2178"/>
    <w:rsid w:val="49A32653"/>
    <w:rsid w:val="4BF01843"/>
    <w:rsid w:val="4CE70AA9"/>
    <w:rsid w:val="4D3F08E5"/>
    <w:rsid w:val="4E807024"/>
    <w:rsid w:val="516C6D88"/>
    <w:rsid w:val="540377A5"/>
    <w:rsid w:val="557C11BD"/>
    <w:rsid w:val="558C6691"/>
    <w:rsid w:val="58F033DB"/>
    <w:rsid w:val="591C41D0"/>
    <w:rsid w:val="5BD40D92"/>
    <w:rsid w:val="5CE371D6"/>
    <w:rsid w:val="5F293F24"/>
    <w:rsid w:val="600A2FD4"/>
    <w:rsid w:val="60545FFD"/>
    <w:rsid w:val="60970DF9"/>
    <w:rsid w:val="60F4333C"/>
    <w:rsid w:val="61023CAB"/>
    <w:rsid w:val="62361E5F"/>
    <w:rsid w:val="63A454EE"/>
    <w:rsid w:val="66A07919"/>
    <w:rsid w:val="66F04548"/>
    <w:rsid w:val="67674868"/>
    <w:rsid w:val="679413D5"/>
    <w:rsid w:val="67A23AF2"/>
    <w:rsid w:val="69C320FF"/>
    <w:rsid w:val="69F36887"/>
    <w:rsid w:val="6A8B2DE9"/>
    <w:rsid w:val="6D1919FD"/>
    <w:rsid w:val="6D231231"/>
    <w:rsid w:val="6DC95F48"/>
    <w:rsid w:val="7443040B"/>
    <w:rsid w:val="75DE4F20"/>
    <w:rsid w:val="773A5AF5"/>
    <w:rsid w:val="77C875A5"/>
    <w:rsid w:val="79E65AC0"/>
    <w:rsid w:val="7ABC657A"/>
    <w:rsid w:val="7B4038F6"/>
    <w:rsid w:val="7C6B6751"/>
    <w:rsid w:val="7D523138"/>
    <w:rsid w:val="7E857F9E"/>
    <w:rsid w:val="7EA008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0" w:line="240" w:lineRule="auto"/>
      <w:jc w:val="both"/>
    </w:pPr>
    <w:rPr>
      <w:rFonts w:ascii="Calibri" w:hAnsi="Calibri" w:eastAsia="宋体" w:cs="Times New Roman"/>
      <w:kern w:val="2"/>
      <w:sz w:val="21"/>
      <w:szCs w:val="21"/>
      <w:lang w:val="en-US" w:eastAsia="zh-CN" w:bidi="ar-SA"/>
      <w14:ligatures w14:val="none"/>
    </w:rPr>
  </w:style>
  <w:style w:type="paragraph" w:styleId="2">
    <w:name w:val="heading 1"/>
    <w:basedOn w:val="1"/>
    <w:next w:val="1"/>
    <w:link w:val="15"/>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16"/>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17"/>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18"/>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19"/>
    <w:semiHidden/>
    <w:unhideWhenUsed/>
    <w:qFormat/>
    <w:uiPriority w:val="9"/>
    <w:pPr>
      <w:keepNext/>
      <w:keepLines/>
      <w:spacing w:before="80" w:after="40"/>
      <w:outlineLvl w:val="4"/>
    </w:pPr>
    <w:rPr>
      <w:rFonts w:cstheme="majorBidi"/>
      <w:color w:val="104862" w:themeColor="accent1" w:themeShade="BF"/>
      <w:sz w:val="24"/>
    </w:rPr>
  </w:style>
  <w:style w:type="paragraph" w:styleId="7">
    <w:name w:val="heading 6"/>
    <w:basedOn w:val="1"/>
    <w:next w:val="1"/>
    <w:link w:val="20"/>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21"/>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2"/>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3"/>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11">
    <w:name w:val="Subtitle"/>
    <w:basedOn w:val="1"/>
    <w:next w:val="1"/>
    <w:link w:val="25"/>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2">
    <w:name w:val="Title"/>
    <w:basedOn w:val="1"/>
    <w:next w:val="1"/>
    <w:link w:val="24"/>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customStyle="1" w:styleId="15">
    <w:name w:val="标题 1 字符"/>
    <w:basedOn w:val="14"/>
    <w:link w:val="2"/>
    <w:qFormat/>
    <w:uiPriority w:val="9"/>
    <w:rPr>
      <w:rFonts w:asciiTheme="majorHAnsi" w:hAnsiTheme="majorHAnsi" w:eastAsiaTheme="majorEastAsia" w:cstheme="majorBidi"/>
      <w:color w:val="104862" w:themeColor="accent1" w:themeShade="BF"/>
      <w:sz w:val="48"/>
      <w:szCs w:val="48"/>
    </w:rPr>
  </w:style>
  <w:style w:type="character" w:customStyle="1" w:styleId="16">
    <w:name w:val="标题 2 字符"/>
    <w:basedOn w:val="14"/>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17">
    <w:name w:val="标题 3 字符"/>
    <w:basedOn w:val="14"/>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18">
    <w:name w:val="标题 4 字符"/>
    <w:basedOn w:val="14"/>
    <w:link w:val="5"/>
    <w:semiHidden/>
    <w:qFormat/>
    <w:uiPriority w:val="9"/>
    <w:rPr>
      <w:rFonts w:cstheme="majorBidi"/>
      <w:color w:val="104862" w:themeColor="accent1" w:themeShade="BF"/>
      <w:sz w:val="28"/>
      <w:szCs w:val="28"/>
    </w:rPr>
  </w:style>
  <w:style w:type="character" w:customStyle="1" w:styleId="19">
    <w:name w:val="标题 5 字符"/>
    <w:basedOn w:val="14"/>
    <w:link w:val="6"/>
    <w:semiHidden/>
    <w:qFormat/>
    <w:uiPriority w:val="9"/>
    <w:rPr>
      <w:rFonts w:cstheme="majorBidi"/>
      <w:color w:val="104862" w:themeColor="accent1" w:themeShade="BF"/>
      <w:sz w:val="24"/>
    </w:rPr>
  </w:style>
  <w:style w:type="character" w:customStyle="1" w:styleId="20">
    <w:name w:val="标题 6 字符"/>
    <w:basedOn w:val="14"/>
    <w:link w:val="7"/>
    <w:semiHidden/>
    <w:qFormat/>
    <w:uiPriority w:val="9"/>
    <w:rPr>
      <w:rFonts w:cstheme="majorBidi"/>
      <w:b/>
      <w:bCs/>
      <w:color w:val="104862" w:themeColor="accent1" w:themeShade="BF"/>
    </w:rPr>
  </w:style>
  <w:style w:type="character" w:customStyle="1" w:styleId="21">
    <w:name w:val="标题 7 字符"/>
    <w:basedOn w:val="14"/>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2">
    <w:name w:val="标题 8 字符"/>
    <w:basedOn w:val="14"/>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3">
    <w:name w:val="标题 9 字符"/>
    <w:basedOn w:val="14"/>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4">
    <w:name w:val="标题 字符"/>
    <w:basedOn w:val="14"/>
    <w:link w:val="12"/>
    <w:qFormat/>
    <w:uiPriority w:val="10"/>
    <w:rPr>
      <w:rFonts w:asciiTheme="majorHAnsi" w:hAnsiTheme="majorHAnsi" w:eastAsiaTheme="majorEastAsia" w:cstheme="majorBidi"/>
      <w:spacing w:val="-10"/>
      <w:kern w:val="28"/>
      <w:sz w:val="56"/>
      <w:szCs w:val="56"/>
    </w:rPr>
  </w:style>
  <w:style w:type="character" w:customStyle="1" w:styleId="25">
    <w:name w:val="副标题 字符"/>
    <w:basedOn w:val="14"/>
    <w:link w:val="11"/>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6">
    <w:name w:val="Quote"/>
    <w:basedOn w:val="1"/>
    <w:next w:val="1"/>
    <w:link w:val="27"/>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27">
    <w:name w:val="引用 字符"/>
    <w:basedOn w:val="14"/>
    <w:link w:val="26"/>
    <w:qFormat/>
    <w:uiPriority w:val="29"/>
    <w:rPr>
      <w:i/>
      <w:iCs/>
      <w:color w:val="404040" w:themeColor="text1" w:themeTint="BF"/>
      <w14:textFill>
        <w14:solidFill>
          <w14:schemeClr w14:val="tx1">
            <w14:lumMod w14:val="75000"/>
            <w14:lumOff w14:val="25000"/>
          </w14:schemeClr>
        </w14:solidFill>
      </w14:textFill>
    </w:rPr>
  </w:style>
  <w:style w:type="paragraph" w:styleId="28">
    <w:name w:val="List Paragraph"/>
    <w:basedOn w:val="1"/>
    <w:qFormat/>
    <w:uiPriority w:val="34"/>
    <w:pPr>
      <w:ind w:left="720"/>
      <w:contextualSpacing/>
    </w:pPr>
  </w:style>
  <w:style w:type="character" w:customStyle="1" w:styleId="29">
    <w:name w:val="Intense Emphasis"/>
    <w:basedOn w:val="14"/>
    <w:qFormat/>
    <w:uiPriority w:val="21"/>
    <w:rPr>
      <w:i/>
      <w:iCs/>
      <w:color w:val="104862" w:themeColor="accent1" w:themeShade="BF"/>
    </w:rPr>
  </w:style>
  <w:style w:type="paragraph" w:styleId="30">
    <w:name w:val="Intense Quote"/>
    <w:basedOn w:val="1"/>
    <w:next w:val="1"/>
    <w:link w:val="31"/>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1">
    <w:name w:val="明显引用 字符"/>
    <w:basedOn w:val="14"/>
    <w:link w:val="30"/>
    <w:qFormat/>
    <w:uiPriority w:val="30"/>
    <w:rPr>
      <w:i/>
      <w:iCs/>
      <w:color w:val="104862" w:themeColor="accent1" w:themeShade="BF"/>
    </w:rPr>
  </w:style>
  <w:style w:type="character" w:customStyle="1" w:styleId="32">
    <w:name w:val="Intense Reference"/>
    <w:basedOn w:val="14"/>
    <w:qFormat/>
    <w:uiPriority w:val="32"/>
    <w:rPr>
      <w:b/>
      <w:bCs/>
      <w:smallCaps/>
      <w:color w:val="104862" w:themeColor="accent1" w:themeShade="BF"/>
      <w:spacing w:val="5"/>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951</Words>
  <Characters>1010</Characters>
  <Lines>6</Lines>
  <Paragraphs>1</Paragraphs>
  <TotalTime>3</TotalTime>
  <ScaleCrop>false</ScaleCrop>
  <LinksUpToDate>false</LinksUpToDate>
  <CharactersWithSpaces>1023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2025-07-31T01:46:00Z</dcterms:created>
  <dc:creator>静 齐</dc:creator>
  <cp:lastModifiedBy>养乐多</cp:lastModifiedBy>
  <dcterms:modified xsi:type="dcterms:W3CDTF">2025-08-08T01:51:37Z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eyJoZGlkIjoiNjU5N2VhZmRlNWZkZTcwOWM0Njk0NWVmMDdkNTA5MWYiLCJ1c2VySWQiOiI1NTkwODAwNjcifQ==</vt:lpwstr>
  </property>
  <property fmtid="{D5CDD505-2E9C-101B-9397-08002B2CF9AE}" pid="3" name="KSOProductBuildVer">
    <vt:lpwstr>2052-12.1.0.21915</vt:lpwstr>
  </property>
  <property fmtid="{D5CDD505-2E9C-101B-9397-08002B2CF9AE}" pid="4" name="ICV">
    <vt:lpwstr>0176496EDB8F48FF9F4CFD08EAD036D2_12</vt:lpwstr>
  </property>
</Properties>
</file>