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outlineLvl w:val="0"/>
        <w:rPr>
          <w:rFonts w:ascii="黑体" w:hAnsi="Times New Roman" w:eastAsia="黑体"/>
          <w:snapToGrid w:val="0"/>
          <w:kern w:val="0"/>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北京市药品监督管理局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hint="eastAsia"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楷体_GB2312" w:hAnsi="宋体" w:eastAsia="楷体_GB2312" w:cs="宋体"/>
          <w:spacing w:val="8"/>
          <w:kern w:val="0"/>
          <w:sz w:val="32"/>
          <w:szCs w:val="32"/>
          <w:lang w:val="en-US" w:eastAsia="zh-CN"/>
        </w:rPr>
        <w:t>2022年，</w:t>
      </w:r>
      <w:r>
        <w:rPr>
          <w:rFonts w:hint="eastAsia" w:ascii="仿宋_GB2312" w:hAnsi="宋体" w:eastAsia="仿宋_GB2312" w:cs="宋体"/>
          <w:spacing w:val="8"/>
          <w:kern w:val="0"/>
          <w:sz w:val="32"/>
          <w:szCs w:val="32"/>
          <w:lang w:val="en-US" w:eastAsia="zh-CN"/>
        </w:rPr>
        <w:t>市药监局深入贯彻《政府信息公开条例》，按照《北京市2022年政务公开工作要点》《北京市政务服务管理局关于印发政府网站和政务新媒体检查指标的通知》等相关要求，坚持“以公开为常态，不公开为例外”，紧紧围绕中心工作，以企业和群众需求为导向，持续做好信息公开、政策解读，全面提升政务公开工作的质量和实效。</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default" w:ascii="楷体_GB2312" w:hAnsi="宋体" w:eastAsia="楷体_GB2312" w:cs="宋体"/>
          <w:spacing w:val="8"/>
          <w:kern w:val="0"/>
          <w:sz w:val="32"/>
          <w:szCs w:val="32"/>
          <w:lang w:val="en-US"/>
        </w:rPr>
        <mc:AlternateContent>
          <mc:Choice Requires="wps">
            <w:drawing>
              <wp:anchor distT="0" distB="0" distL="114300" distR="114300" simplePos="0" relativeHeight="251666432" behindDoc="0" locked="0" layoutInCell="1" allowOverlap="1">
                <wp:simplePos x="0" y="0"/>
                <wp:positionH relativeFrom="column">
                  <wp:posOffset>758825</wp:posOffset>
                </wp:positionH>
                <wp:positionV relativeFrom="paragraph">
                  <wp:posOffset>9629775</wp:posOffset>
                </wp:positionV>
                <wp:extent cx="6120130" cy="0"/>
                <wp:effectExtent l="0" t="28575" r="6350" b="32385"/>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612013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59.75pt;margin-top:758.25pt;height:0pt;width:481.9pt;z-index:251666432;mso-width-relative:page;mso-height-relative:page;" filled="f" stroked="t" coordsize="21600,21600" o:gfxdata="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3p8A9cAAAAOAQAADwAAAAAAAAABACAAAAA4AAAAZHJzL2Rvd25yZXYueG1sUEsBAhQAFAAAAAgA&#10;h07iQPyDvOXXAQAAcQMAAA4AAAAAAAAAAQAgAAAAPAEAAGRycy9lMm9Eb2MueG1sUEsFBgAAAAAG&#10;AAYAWQEAAIUFAAAAAA==&#10;">
                <v:fill on="f" focussize="0,0"/>
                <v:stroke weight="4.5pt" color="#FF0000" linestyle="thinThick" joinstyle="round"/>
                <v:imagedata o:title=""/>
                <o:lock v:ext="edit" aspectratio="f"/>
              </v:line>
            </w:pict>
          </mc:Fallback>
        </mc:AlternateContent>
      </w:r>
      <w:r>
        <w:rPr>
          <w:rFonts w:hint="eastAsia" w:ascii="楷体_GB2312" w:hAnsi="宋体" w:eastAsia="楷体_GB2312" w:cs="宋体"/>
          <w:spacing w:val="8"/>
          <w:kern w:val="0"/>
          <w:sz w:val="32"/>
          <w:szCs w:val="32"/>
          <w:lang w:val="en-US" w:eastAsia="zh-CN"/>
        </w:rPr>
        <w:t>一</w:t>
      </w:r>
      <w:r>
        <w:rPr>
          <w:rFonts w:hint="eastAsia" w:ascii="楷体_GB2312" w:hAnsi="宋体" w:eastAsia="楷体_GB2312" w:cs="宋体"/>
          <w:spacing w:val="8"/>
          <w:kern w:val="0"/>
          <w:sz w:val="32"/>
          <w:szCs w:val="32"/>
        </w:rPr>
        <w:t>是</w:t>
      </w:r>
      <w:r>
        <w:rPr>
          <w:rFonts w:hint="eastAsia" w:ascii="楷体_GB2312" w:hAnsi="宋体" w:eastAsia="楷体_GB2312" w:cs="宋体"/>
          <w:spacing w:val="8"/>
          <w:kern w:val="0"/>
          <w:sz w:val="32"/>
          <w:szCs w:val="32"/>
          <w:lang w:eastAsia="zh-CN"/>
        </w:rPr>
        <w:t>主动公开标准规范</w:t>
      </w:r>
      <w:r>
        <w:rPr>
          <w:rFonts w:hint="eastAsia" w:ascii="楷体_GB2312" w:hAnsi="宋体" w:eastAsia="楷体_GB2312" w:cs="宋体"/>
          <w:spacing w:val="8"/>
          <w:kern w:val="0"/>
          <w:sz w:val="32"/>
          <w:szCs w:val="32"/>
        </w:rPr>
        <w:t>。</w:t>
      </w:r>
      <w:r>
        <w:rPr>
          <w:rFonts w:hint="eastAsia" w:ascii="仿宋_GB2312" w:eastAsia="仿宋_GB2312"/>
          <w:sz w:val="32"/>
          <w:szCs w:val="32"/>
        </w:rPr>
        <w:t>做到常规性信息定期公开，动态性信息随时公开，固定性信息长期公开，突发性信息立即公开。</w:t>
      </w:r>
      <w:r>
        <w:rPr>
          <w:rFonts w:hint="eastAsia" w:ascii="仿宋_GB2312" w:hAnsi="宋体" w:eastAsia="仿宋_GB2312" w:cs="宋体"/>
          <w:spacing w:val="8"/>
          <w:kern w:val="0"/>
          <w:sz w:val="32"/>
          <w:szCs w:val="32"/>
        </w:rPr>
        <w:t>全年主动公开政府信息共</w:t>
      </w:r>
      <w:r>
        <w:rPr>
          <w:rFonts w:hint="eastAsia" w:ascii="仿宋_GB2312" w:hAnsi="宋体" w:eastAsia="仿宋_GB2312" w:cs="宋体"/>
          <w:spacing w:val="8"/>
          <w:kern w:val="0"/>
          <w:sz w:val="32"/>
          <w:szCs w:val="32"/>
          <w:lang w:eastAsia="zh-CN"/>
        </w:rPr>
        <w:t>124660</w:t>
      </w:r>
      <w:r>
        <w:rPr>
          <w:rFonts w:hint="eastAsia" w:ascii="仿宋_GB2312" w:hAnsi="宋体" w:eastAsia="仿宋_GB2312" w:cs="宋体"/>
          <w:spacing w:val="8"/>
          <w:kern w:val="0"/>
          <w:sz w:val="32"/>
          <w:szCs w:val="32"/>
        </w:rPr>
        <w:t>条，及时公开“三公”经费、年度预决算等内容，主动接受社会监督。</w:t>
      </w:r>
      <w:r>
        <w:rPr>
          <w:rFonts w:hint="eastAsia" w:ascii="仿宋_GB2312" w:hAnsi="宋体" w:eastAsia="仿宋_GB2312" w:cs="宋体"/>
          <w:spacing w:val="8"/>
          <w:kern w:val="0"/>
          <w:sz w:val="32"/>
          <w:szCs w:val="32"/>
          <w:lang w:eastAsia="zh-CN"/>
        </w:rPr>
        <w:t>及时更新</w:t>
      </w:r>
      <w:r>
        <w:rPr>
          <w:rFonts w:hint="eastAsia" w:ascii="仿宋_GB2312" w:hAnsi="宋体" w:eastAsia="仿宋_GB2312" w:cs="宋体"/>
          <w:spacing w:val="8"/>
          <w:kern w:val="0"/>
          <w:sz w:val="32"/>
          <w:szCs w:val="32"/>
        </w:rPr>
        <w:t>规划信息、统计信息、行政许可、监督检查、预算决算、</w:t>
      </w:r>
      <w:r>
        <w:rPr>
          <w:rFonts w:hint="eastAsia" w:ascii="仿宋_GB2312" w:eastAsia="仿宋_GB2312"/>
          <w:sz w:val="32"/>
          <w:szCs w:val="32"/>
        </w:rPr>
        <w:t>收费项目、政府采购、招考录用、其他法定信息等12个二级栏目</w:t>
      </w:r>
      <w:r>
        <w:rPr>
          <w:rFonts w:hint="eastAsia" w:ascii="仿宋_GB2312" w:eastAsia="仿宋_GB2312"/>
          <w:sz w:val="32"/>
          <w:szCs w:val="32"/>
          <w:lang w:eastAsia="zh-CN"/>
        </w:rPr>
        <w:t>。</w:t>
      </w:r>
      <w:r>
        <w:rPr>
          <w:rFonts w:hint="eastAsia" w:ascii="仿宋_GB2312" w:hAnsi="宋体" w:eastAsia="仿宋_GB2312" w:cs="宋体"/>
          <w:spacing w:val="8"/>
          <w:kern w:val="0"/>
          <w:sz w:val="32"/>
          <w:szCs w:val="32"/>
        </w:rPr>
        <w:t>采用文字、图表图解、视频等多种</w:t>
      </w:r>
      <w:r>
        <w:rPr>
          <w:rFonts w:hint="eastAsia" w:ascii="仿宋_GB2312" w:hAnsi="宋体" w:eastAsia="仿宋_GB2312" w:cs="宋体"/>
          <w:spacing w:val="8"/>
          <w:kern w:val="0"/>
          <w:sz w:val="32"/>
          <w:szCs w:val="32"/>
          <w:lang w:eastAsia="zh-CN"/>
        </w:rPr>
        <w:t>形式，</w:t>
      </w:r>
      <w:r>
        <w:rPr>
          <w:rFonts w:hint="eastAsia" w:ascii="仿宋_GB2312" w:eastAsia="仿宋_GB2312"/>
          <w:sz w:val="32"/>
          <w:szCs w:val="32"/>
          <w:lang w:eastAsia="zh-CN"/>
        </w:rPr>
        <w:t>针对出台的各项政策进行精准解读</w:t>
      </w:r>
      <w:r>
        <w:rPr>
          <w:rFonts w:hint="eastAsia" w:ascii="仿宋_GB2312" w:hAnsi="宋体" w:eastAsia="仿宋_GB2312" w:cs="宋体"/>
          <w:spacing w:val="8"/>
          <w:kern w:val="0"/>
          <w:sz w:val="32"/>
          <w:szCs w:val="32"/>
        </w:rPr>
        <w:t>，提升政策解读质量。</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eastAsia="仿宋_GB2312"/>
          <w:sz w:val="32"/>
          <w:szCs w:val="32"/>
          <w:lang w:val="en-US" w:eastAsia="zh-CN"/>
        </w:rPr>
      </w:pPr>
      <w:r>
        <w:rPr>
          <w:rFonts w:hint="eastAsia" w:ascii="楷体_GB2312" w:hAnsi="宋体" w:eastAsia="楷体_GB2312" w:cs="宋体"/>
          <w:spacing w:val="8"/>
          <w:kern w:val="0"/>
          <w:sz w:val="32"/>
          <w:szCs w:val="32"/>
          <w:lang w:eastAsia="zh-CN"/>
        </w:rPr>
        <w:t>二是加强工作会商协同，做好依申请公开服务。</w:t>
      </w:r>
      <w:r>
        <w:rPr>
          <w:rFonts w:hint="eastAsia" w:ascii="仿宋_GB2312" w:eastAsia="仿宋_GB2312"/>
          <w:sz w:val="32"/>
          <w:szCs w:val="32"/>
          <w:lang w:val="en-US" w:eastAsia="zh-CN"/>
        </w:rPr>
        <w:t>满足申请人信息诉求，主动靠前服务讲解政策、流程，将依申请公开作为为群众办实事、解难题的重要窗口。组织相关处室并邀请执业律师会商相关申请需求，最大化满足申请人需求，</w:t>
      </w:r>
      <w:r>
        <w:rPr>
          <w:rFonts w:hint="eastAsia" w:ascii="仿宋_GB2312" w:eastAsia="仿宋_GB2312"/>
          <w:sz w:val="32"/>
          <w:szCs w:val="32"/>
        </w:rPr>
        <w:t>确保</w:t>
      </w:r>
      <w:r>
        <w:rPr>
          <w:rFonts w:hint="eastAsia" w:ascii="仿宋_GB2312" w:eastAsia="仿宋_GB2312"/>
          <w:sz w:val="32"/>
          <w:szCs w:val="32"/>
          <w:lang w:eastAsia="zh-CN"/>
        </w:rPr>
        <w:t>申请人</w:t>
      </w:r>
      <w:r>
        <w:rPr>
          <w:rFonts w:hint="eastAsia" w:ascii="仿宋_GB2312" w:eastAsia="仿宋_GB2312"/>
          <w:sz w:val="32"/>
          <w:szCs w:val="32"/>
        </w:rPr>
        <w:t>依法获取信息的权</w:t>
      </w:r>
      <w:r>
        <w:rPr>
          <w:rFonts w:hint="eastAsia" w:ascii="仿宋_GB2312" w:eastAsia="仿宋_GB2312"/>
          <w:sz w:val="32"/>
          <w:szCs w:val="32"/>
          <w:lang w:val="en-US" w:eastAsia="zh-CN"/>
        </w:rPr>
        <w:t>利。全年收到依申请公开27件，已全部办结，在答复告知书中明确告知法定依据和救济渠道，无行政复议驳回和行政诉讼败诉情况。</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rPr>
      </w:pPr>
      <w:r>
        <w:rPr>
          <w:rFonts w:hint="eastAsia" w:ascii="楷体_GB2312" w:hAnsi="宋体" w:eastAsia="楷体_GB2312" w:cs="宋体"/>
          <w:spacing w:val="8"/>
          <w:kern w:val="0"/>
          <w:sz w:val="32"/>
          <w:szCs w:val="32"/>
          <w:lang w:val="en-US" w:eastAsia="zh-CN"/>
        </w:rPr>
        <w:t>三是信息管理更加精细。</w:t>
      </w:r>
      <w:r>
        <w:rPr>
          <w:rFonts w:hint="eastAsia" w:ascii="仿宋_GB2312" w:eastAsia="仿宋_GB2312"/>
          <w:sz w:val="32"/>
          <w:szCs w:val="32"/>
        </w:rPr>
        <w:t>逐条对应</w:t>
      </w:r>
      <w:r>
        <w:rPr>
          <w:rFonts w:hint="eastAsia" w:ascii="仿宋_GB2312" w:eastAsia="仿宋_GB2312"/>
          <w:sz w:val="32"/>
          <w:szCs w:val="32"/>
          <w:lang w:eastAsia="zh-CN"/>
        </w:rPr>
        <w:t>法定指责</w:t>
      </w:r>
      <w:r>
        <w:rPr>
          <w:rFonts w:hint="eastAsia" w:ascii="仿宋_GB2312" w:eastAsia="仿宋_GB2312"/>
          <w:sz w:val="32"/>
          <w:szCs w:val="32"/>
        </w:rPr>
        <w:t>动态更新发布《北京市药品监督管理局政府信息主动公开全清单》，进一步扩大主动公开范围和力度。</w:t>
      </w:r>
      <w:r>
        <w:rPr>
          <w:rFonts w:hint="eastAsia" w:ascii="仿宋_GB2312" w:eastAsia="仿宋_GB2312"/>
          <w:sz w:val="32"/>
          <w:szCs w:val="32"/>
          <w:lang w:eastAsia="zh-CN"/>
        </w:rPr>
        <w:t>完善</w:t>
      </w:r>
      <w:r>
        <w:rPr>
          <w:rFonts w:hint="eastAsia" w:ascii="仿宋_GB2312" w:eastAsia="仿宋_GB2312"/>
          <w:sz w:val="32"/>
          <w:szCs w:val="32"/>
        </w:rPr>
        <w:t>政策性文件与解读材料同</w:t>
      </w:r>
      <w:r>
        <w:rPr>
          <w:rFonts w:hint="eastAsia" w:ascii="仿宋_GB2312" w:hAnsi="宋体" w:eastAsia="仿宋_GB2312" w:cs="宋体"/>
          <w:spacing w:val="8"/>
          <w:kern w:val="0"/>
          <w:sz w:val="32"/>
          <w:szCs w:val="32"/>
        </w:rPr>
        <w:t>步起草、同步审签、同步发布</w:t>
      </w:r>
      <w:r>
        <w:rPr>
          <w:rFonts w:hint="eastAsia" w:ascii="仿宋_GB2312" w:hAnsi="宋体" w:eastAsia="仿宋_GB2312" w:cs="宋体"/>
          <w:spacing w:val="8"/>
          <w:kern w:val="0"/>
          <w:sz w:val="32"/>
          <w:szCs w:val="32"/>
          <w:lang w:eastAsia="zh-CN"/>
        </w:rPr>
        <w:t>机制。</w:t>
      </w:r>
      <w:r>
        <w:rPr>
          <w:rFonts w:hint="eastAsia" w:ascii="仿宋_GB2312" w:eastAsia="仿宋_GB2312"/>
          <w:sz w:val="32"/>
          <w:szCs w:val="32"/>
        </w:rPr>
        <w:t>健全政府信息公开保密审查机制，坚决杜绝失泄密问题</w:t>
      </w:r>
      <w:r>
        <w:rPr>
          <w:rFonts w:hint="eastAsia" w:ascii="仿宋_GB2312" w:eastAsia="仿宋_GB2312"/>
          <w:sz w:val="32"/>
          <w:szCs w:val="32"/>
          <w:lang w:eastAsia="zh-CN"/>
        </w:rPr>
        <w:t>。统筹政务网站与官方新媒体信息发布，提高信息公开内容覆盖面，实施差异化、分众化信息公开服务，</w:t>
      </w:r>
      <w:r>
        <w:rPr>
          <w:rFonts w:hint="eastAsia" w:ascii="仿宋_GB2312" w:hAnsi="宋体" w:eastAsia="仿宋_GB2312" w:cs="宋体"/>
          <w:spacing w:val="8"/>
          <w:kern w:val="0"/>
          <w:sz w:val="32"/>
          <w:szCs w:val="32"/>
        </w:rPr>
        <w:t>形成多层面、多角度、多点位的立体公开模式。</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ascii="仿宋_GB2312" w:hAnsi="宋体" w:eastAsia="仿宋_GB2312" w:cs="宋体"/>
          <w:spacing w:val="8"/>
          <w:kern w:val="0"/>
          <w:sz w:val="32"/>
          <w:szCs w:val="32"/>
        </w:rPr>
      </w:pPr>
      <w:r>
        <w:rPr>
          <w:rFonts w:hint="eastAsia" w:ascii="楷体_GB2312" w:hAnsi="宋体" w:eastAsia="楷体_GB2312" w:cs="宋体"/>
          <w:spacing w:val="8"/>
          <w:kern w:val="0"/>
          <w:sz w:val="32"/>
          <w:szCs w:val="32"/>
          <w:lang w:eastAsia="zh-CN"/>
        </w:rPr>
        <w:t>四</w:t>
      </w:r>
      <w:r>
        <w:rPr>
          <w:rFonts w:hint="eastAsia" w:ascii="楷体_GB2312" w:hAnsi="宋体" w:eastAsia="楷体_GB2312" w:cs="宋体"/>
          <w:spacing w:val="8"/>
          <w:kern w:val="0"/>
          <w:sz w:val="32"/>
          <w:szCs w:val="32"/>
        </w:rPr>
        <w:t>是</w:t>
      </w:r>
      <w:r>
        <w:rPr>
          <w:rFonts w:hint="eastAsia" w:ascii="楷体_GB2312" w:hAnsi="宋体" w:eastAsia="楷体_GB2312" w:cs="宋体"/>
          <w:spacing w:val="8"/>
          <w:kern w:val="0"/>
          <w:sz w:val="32"/>
          <w:szCs w:val="32"/>
          <w:lang w:eastAsia="zh-CN"/>
        </w:rPr>
        <w:t>组织监督保障有力。</w:t>
      </w:r>
      <w:r>
        <w:rPr>
          <w:rFonts w:hint="eastAsia" w:ascii="仿宋_GB2312" w:eastAsia="仿宋_GB2312"/>
          <w:sz w:val="32"/>
          <w:szCs w:val="32"/>
          <w:lang w:eastAsia="zh-CN"/>
        </w:rPr>
        <w:t>进一步健全</w:t>
      </w:r>
      <w:r>
        <w:rPr>
          <w:rFonts w:hint="eastAsia" w:ascii="仿宋_GB2312" w:eastAsia="仿宋_GB2312"/>
          <w:sz w:val="32"/>
          <w:szCs w:val="32"/>
        </w:rPr>
        <w:t>党组书记、局长负总责，主管局领导具体负责，处室负责人和具体工作人员各负其责的组织体系，加强统筹领导和监督保障。</w:t>
      </w:r>
      <w:r>
        <w:rPr>
          <w:rFonts w:hint="eastAsia" w:ascii="仿宋_GB2312" w:eastAsia="仿宋_GB2312"/>
          <w:sz w:val="32"/>
          <w:szCs w:val="32"/>
          <w:lang w:eastAsia="zh-CN"/>
        </w:rPr>
        <w:t>分管领导多次组织座谈会听取意见和建议，部署相关工作落实落细。局</w:t>
      </w:r>
      <w:r>
        <w:rPr>
          <w:rFonts w:hint="eastAsia" w:ascii="仿宋_GB2312" w:eastAsia="仿宋_GB2312"/>
          <w:sz w:val="32"/>
          <w:szCs w:val="32"/>
        </w:rPr>
        <w:t>领导</w:t>
      </w:r>
      <w:r>
        <w:rPr>
          <w:rFonts w:hint="eastAsia" w:ascii="仿宋_GB2312" w:eastAsia="仿宋_GB2312"/>
          <w:sz w:val="32"/>
          <w:szCs w:val="32"/>
          <w:lang w:val="en-US" w:eastAsia="zh-CN"/>
        </w:rPr>
        <w:t>5</w:t>
      </w:r>
      <w:r>
        <w:rPr>
          <w:rFonts w:hint="eastAsia" w:ascii="仿宋_GB2312" w:eastAsia="仿宋_GB2312"/>
          <w:sz w:val="32"/>
          <w:szCs w:val="32"/>
        </w:rPr>
        <w:t>次出席全市新闻发布会，介绍“两区”生物医药全产业链开放举措、新冠抗原检测试剂质量监管</w:t>
      </w:r>
      <w:r>
        <w:rPr>
          <w:rFonts w:hint="eastAsia" w:ascii="仿宋_GB2312" w:eastAsia="仿宋_GB2312"/>
          <w:sz w:val="32"/>
          <w:szCs w:val="32"/>
          <w:lang w:eastAsia="zh-CN"/>
        </w:rPr>
        <w:t>、医药物资</w:t>
      </w:r>
      <w:r>
        <w:rPr>
          <w:rFonts w:hint="eastAsia" w:ascii="仿宋_GB2312" w:eastAsia="仿宋_GB2312"/>
          <w:sz w:val="32"/>
          <w:szCs w:val="32"/>
        </w:rPr>
        <w:t>产品供应情况等</w:t>
      </w:r>
      <w:r>
        <w:rPr>
          <w:rFonts w:hint="eastAsia" w:ascii="仿宋_GB2312" w:eastAsia="仿宋_GB2312"/>
          <w:sz w:val="32"/>
          <w:szCs w:val="32"/>
          <w:lang w:eastAsia="zh-CN"/>
        </w:rPr>
        <w:t>。</w:t>
      </w:r>
      <w:r>
        <w:rPr>
          <w:rFonts w:hint="eastAsia" w:ascii="仿宋_GB2312" w:eastAsia="仿宋_GB2312"/>
          <w:sz w:val="32"/>
          <w:szCs w:val="32"/>
          <w:lang w:val="en-US" w:eastAsia="zh-CN"/>
        </w:rPr>
        <w:t>领导重视、全员参与、全领域信息覆盖的政务公开工作推进方式，为市药监局各项重点任务推进实施提供了坚强保证。</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7</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eastAsia="宋体" w:cs="Calibri"/>
                <w:kern w:val="0"/>
                <w:sz w:val="20"/>
                <w:szCs w:val="20"/>
                <w:lang w:val="en-US" w:eastAsia="zh-CN" w:bidi="ar"/>
              </w:rPr>
            </w:pPr>
            <w:r>
              <w:rPr>
                <w:rFonts w:hint="eastAsia" w:cs="Calibri"/>
                <w:kern w:val="0"/>
                <w:sz w:val="20"/>
                <w:szCs w:val="20"/>
                <w:lang w:val="en-US" w:eastAsia="zh-CN" w:bidi="ar"/>
              </w:rPr>
              <w:t>29</w:t>
            </w:r>
            <w:bookmarkStart w:id="0" w:name="_GoBack"/>
            <w:bookmarkEnd w:id="0"/>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hint="eastAsia"/>
              </w:rPr>
              <w:t>28564</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cs="Calibri"/>
                <w:kern w:val="0"/>
                <w:sz w:val="20"/>
                <w:szCs w:val="20"/>
                <w:lang w:bidi="ar"/>
              </w:rPr>
            </w:pPr>
            <w:r>
              <w:rPr>
                <w:rFonts w:hint="eastAsia" w:cs="Calibri"/>
                <w:kern w:val="0"/>
                <w:sz w:val="20"/>
                <w:szCs w:val="20"/>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cs="Calibri"/>
                <w:kern w:val="0"/>
                <w:sz w:val="20"/>
                <w:szCs w:val="20"/>
                <w:lang w:bidi="ar"/>
              </w:rPr>
            </w:pPr>
            <w:r>
              <w:rPr>
                <w:rFonts w:hint="eastAsia" w:cs="Calibri"/>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top w:w="0" w:type="dxa"/>
              <w:left w:w="57" w:type="dxa"/>
              <w:bottom w:w="0"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hint="default" w:ascii="宋体" w:eastAsia="宋体"/>
                <w:sz w:val="24"/>
                <w:lang w:val="en-US" w:eastAsia="zh-CN"/>
              </w:rPr>
            </w:pPr>
            <w:r>
              <w:rPr>
                <w:rFonts w:hint="eastAsia" w:cs="Calibri"/>
                <w:kern w:val="0"/>
                <w:sz w:val="20"/>
                <w:szCs w:val="20"/>
                <w:lang w:val="en-US" w:eastAsia="zh-CN" w:bidi="ar"/>
              </w:rPr>
              <w:t>32.15</w:t>
            </w:r>
          </w:p>
        </w:tc>
      </w:tr>
    </w:tbl>
    <w:p>
      <w:pPr>
        <w:pStyle w:val="2"/>
        <w:spacing w:line="560" w:lineRule="exact"/>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2"/>
      </w:pP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8"/>
        <w:gridCol w:w="691"/>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top w:w="0" w:type="dxa"/>
              <w:left w:w="108" w:type="dxa"/>
              <w:bottom w:w="0"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9" w:type="dxa"/>
            <w:gridSpan w:val="7"/>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outset" w:color="auto" w:sz="8" w:space="0"/>
              <w:right w:val="single" w:color="auto" w:sz="8" w:space="0"/>
            </w:tcBorders>
            <w:vAlign w:val="center"/>
          </w:tcPr>
          <w:p>
            <w:pPr>
              <w:widowControl/>
              <w:jc w:val="left"/>
            </w:pPr>
          </w:p>
        </w:tc>
        <w:tc>
          <w:tcPr>
            <w:tcW w:w="691" w:type="dxa"/>
            <w:vMerge w:val="restart"/>
            <w:tcBorders>
              <w:top w:val="nil"/>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outset" w:color="auto" w:sz="8" w:space="0"/>
              <w:right w:val="single" w:color="auto" w:sz="8" w:space="0"/>
            </w:tcBorders>
            <w:vAlign w:val="center"/>
          </w:tcPr>
          <w:p>
            <w:pPr>
              <w:widowControl/>
              <w:jc w:val="left"/>
            </w:pPr>
          </w:p>
        </w:tc>
        <w:tc>
          <w:tcPr>
            <w:tcW w:w="691" w:type="dxa"/>
            <w:vMerge w:val="continue"/>
            <w:tcBorders>
              <w:top w:val="nil"/>
              <w:left w:val="nil"/>
              <w:bottom w:val="single" w:color="auto" w:sz="8" w:space="0"/>
              <w:right w:val="single" w:color="auto" w:sz="8" w:space="0"/>
            </w:tcBorders>
            <w:vAlign w:val="center"/>
          </w:tcPr>
          <w:p>
            <w:pPr>
              <w:widowControl/>
              <w:jc w:val="left"/>
            </w:pPr>
          </w:p>
        </w:tc>
        <w:tc>
          <w:tcPr>
            <w:tcW w:w="688" w:type="dxa"/>
            <w:tcBorders>
              <w:top w:val="nil"/>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top w:w="0" w:type="dxa"/>
              <w:left w:w="57" w:type="dxa"/>
              <w:bottom w:w="0" w:type="dxa"/>
              <w:right w:w="57" w:type="dxa"/>
            </w:tcMar>
            <w:vAlign w:val="center"/>
          </w:tcPr>
          <w:p>
            <w:pPr>
              <w:widowControl/>
              <w:jc w:val="center"/>
            </w:pPr>
            <w:r>
              <w:rPr>
                <w:rFonts w:hint="eastAsia" w:ascii="宋体" w:hAnsi="宋体" w:cs="宋体"/>
                <w:kern w:val="0"/>
                <w:sz w:val="20"/>
                <w:szCs w:val="20"/>
                <w:lang w:bidi="ar"/>
              </w:rPr>
              <w:t>其他</w:t>
            </w:r>
          </w:p>
        </w:tc>
        <w:tc>
          <w:tcPr>
            <w:tcW w:w="0" w:type="auto"/>
            <w:vMerge w:val="continue"/>
            <w:tcBorders>
              <w:top w:val="single" w:color="auto" w:sz="8" w:space="0"/>
              <w:left w:val="nil"/>
              <w:bottom w:val="outset" w:color="auto" w:sz="8" w:space="0"/>
              <w:right w:val="single" w:color="auto" w:sz="8" w:space="0"/>
            </w:tcBorders>
            <w:vAlign w:val="center"/>
          </w:tcPr>
          <w:p>
            <w:pPr>
              <w:widowControl/>
              <w:jc w:val="left"/>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eastAsia="宋体"/>
                <w:lang w:val="en-US" w:eastAsia="zh-CN"/>
              </w:rPr>
            </w:pPr>
            <w:r>
              <w:rPr>
                <w:rFonts w:hint="eastAsia"/>
                <w:lang w:val="en-US" w:eastAsia="zh-CN"/>
              </w:rPr>
              <w:t>23</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4</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default" w:eastAsia="宋体"/>
                <w:lang w:val="en-US" w:eastAsia="zh-CN"/>
              </w:rPr>
            </w:pPr>
            <w:r>
              <w:rPr>
                <w:rFonts w:hint="eastAsia"/>
                <w:lang w:val="en-US" w:eastAsia="zh-CN"/>
              </w:rPr>
              <w:t>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default"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1" w:type="dxa"/>
            <w:gridSpan w:val="2"/>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（一）予以公开</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lang w:val="en-US" w:eastAsia="zh-CN"/>
              </w:rPr>
            </w:pPr>
            <w:r>
              <w:rPr>
                <w:rFonts w:hint="eastAsia"/>
                <w:lang w:val="en-US" w:eastAsia="zh-CN"/>
              </w:rPr>
              <w:t>4</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hint="eastAsia" w:eastAsia="宋体"/>
                <w:lang w:val="en-US" w:eastAsia="zh-CN"/>
              </w:rPr>
            </w:pPr>
            <w:r>
              <w:rPr>
                <w:rFonts w:hint="eastAsia"/>
                <w:lang w:val="en-US" w:eastAsia="zh-CN"/>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4161" w:type="dxa"/>
            <w:gridSpan w:val="2"/>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hint="eastAsia" w:cs="Calibri"/>
                <w:kern w:val="0"/>
                <w:sz w:val="20"/>
                <w:szCs w:val="20"/>
                <w:lang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cs="Calibri"/>
                <w:kern w:val="0"/>
                <w:sz w:val="20"/>
                <w:szCs w:val="20"/>
                <w:lang w:bidi="ar"/>
              </w:rP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cs="Calibri"/>
                <w:kern w:val="0"/>
                <w:sz w:val="20"/>
                <w:szCs w:val="20"/>
                <w:lang w:bidi="ar"/>
              </w:rP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943" w:type="dxa"/>
            <w:vMerge w:val="restart"/>
            <w:tcBorders>
              <w:top w:val="nil"/>
              <w:left w:val="nil"/>
              <w:bottom w:val="outset" w:color="auto" w:sz="8" w:space="0"/>
              <w:right w:val="single" w:color="auto" w:sz="8" w:space="0"/>
            </w:tcBorders>
            <w:shd w:val="clear" w:color="auto" w:fill="DDEBF7"/>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（三）不予公开</w:t>
            </w: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1.属于国家秘密</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2.其他法律行政法规禁止公开</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3.危及“三安全一稳定”</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4.保护第三方合法权益</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5.属于三类内部事务信息</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6.属于四类过程性信息</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7.属于行政执法案卷</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default" w:eastAsia="宋体"/>
                <w:lang w:val="en-US" w:eastAsia="zh-CN"/>
              </w:rPr>
            </w:pPr>
            <w:r>
              <w:rPr>
                <w:rFonts w:hint="eastAsia"/>
                <w:lang w:val="en-US" w:eastAsia="zh-CN"/>
              </w:rPr>
              <w:t>13</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eastAsia="宋体"/>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default" w:eastAsia="宋体"/>
                <w:lang w:val="en-US" w:eastAsia="zh-CN"/>
              </w:rPr>
            </w:pPr>
            <w:r>
              <w:rPr>
                <w:rFonts w:cs="Calibri"/>
                <w:kern w:val="0"/>
                <w:sz w:val="20"/>
                <w:szCs w:val="20"/>
                <w:lang w:bidi="ar"/>
              </w:rPr>
              <w:t> </w:t>
            </w:r>
            <w:r>
              <w:rPr>
                <w:rFonts w:hint="eastAsia" w:cs="Calibri"/>
                <w:kern w:val="0"/>
                <w:sz w:val="20"/>
                <w:szCs w:val="20"/>
                <w:lang w:val="en-US" w:eastAsia="zh-CN" w:bidi="ar"/>
              </w:rPr>
              <w:t>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8.属于行政查询事项</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eastAsia="宋体"/>
                <w:lang w:eastAsia="zh-CN"/>
              </w:rPr>
            </w:pP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943" w:type="dxa"/>
            <w:vMerge w:val="restart"/>
            <w:tcBorders>
              <w:top w:val="nil"/>
              <w:left w:val="nil"/>
              <w:bottom w:val="outset" w:color="auto" w:sz="8" w:space="0"/>
              <w:right w:val="single" w:color="auto" w:sz="8" w:space="0"/>
            </w:tcBorders>
            <w:shd w:val="clear" w:color="auto" w:fill="DDEBF7"/>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（四）无法提供</w:t>
            </w: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1.本机关不掌握相关政府信息</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eastAsia="宋体"/>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eastAsia="宋体"/>
                <w:lang w:val="en-US" w:eastAsia="zh-CN"/>
              </w:rPr>
            </w:pPr>
            <w:r>
              <w:rPr>
                <w:rFonts w:hint="eastAsia"/>
                <w:lang w:val="en-US" w:eastAsia="zh-CN"/>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2.没有现成信息需要另行制作</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eastAsia="宋体"/>
                <w:lang w:val="en-US" w:eastAsia="zh-CN"/>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3.补正后申请内容仍不明确</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943" w:type="dxa"/>
            <w:vMerge w:val="restart"/>
            <w:tcBorders>
              <w:top w:val="nil"/>
              <w:left w:val="nil"/>
              <w:bottom w:val="outset" w:color="auto" w:sz="8" w:space="0"/>
              <w:right w:val="single" w:color="auto" w:sz="8" w:space="0"/>
            </w:tcBorders>
            <w:shd w:val="clear" w:color="auto" w:fill="DDEBF7"/>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（五）不予处理</w:t>
            </w: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1.信访举报投诉类申请</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2.重复申请</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3.要求提供公开出版物</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tcPr>
          <w:p>
            <w:pPr>
              <w:widowControl/>
              <w:jc w:val="left"/>
            </w:pPr>
            <w:r>
              <w:rPr>
                <w:rFonts w:hint="eastAsia" w:ascii="宋体" w:hAnsi="宋体" w:cs="宋体"/>
                <w:kern w:val="0"/>
                <w:sz w:val="20"/>
                <w:szCs w:val="20"/>
                <w:lang w:bidi="ar"/>
              </w:rPr>
              <w:t>4.无正当理由大量反复申请</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nil"/>
              <w:left w:val="nil"/>
              <w:bottom w:val="outset" w:color="auto" w:sz="8" w:space="0"/>
              <w:right w:val="single" w:color="auto" w:sz="8" w:space="0"/>
            </w:tcBorders>
            <w:vAlign w:val="center"/>
          </w:tcPr>
          <w:p>
            <w:pPr>
              <w:widowControl/>
              <w:jc w:val="left"/>
            </w:pPr>
          </w:p>
        </w:tc>
        <w:tc>
          <w:tcPr>
            <w:tcW w:w="3218" w:type="dxa"/>
            <w:tcBorders>
              <w:top w:val="nil"/>
              <w:left w:val="nil"/>
              <w:bottom w:val="outset" w:color="auto" w:sz="8" w:space="0"/>
              <w:right w:val="single" w:color="auto" w:sz="8" w:space="0"/>
            </w:tcBorders>
            <w:shd w:val="clear" w:color="auto" w:fill="DDEBF7"/>
            <w:tcMar>
              <w:top w:w="0" w:type="dxa"/>
              <w:left w:w="57" w:type="dxa"/>
              <w:bottom w:w="0"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91" w:type="dxa"/>
            <w:tcBorders>
              <w:top w:val="nil"/>
              <w:left w:val="nil"/>
              <w:bottom w:val="outset"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nil"/>
              <w:left w:val="nil"/>
              <w:bottom w:val="outset"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top w:w="0" w:type="dxa"/>
              <w:left w:w="57" w:type="dxa"/>
              <w:bottom w:w="0" w:type="dxa"/>
              <w:right w:w="57" w:type="dxa"/>
            </w:tcMar>
          </w:tcPr>
          <w:p>
            <w:pPr>
              <w:widowControl/>
              <w:jc w:val="center"/>
              <w:rPr>
                <w:rFonts w:hint="eastAsia" w:eastAsia="宋体"/>
                <w:lang w:eastAsia="zh-CN"/>
              </w:rPr>
            </w:pPr>
            <w:r>
              <w:rPr>
                <w:rFonts w:cs="Calibri"/>
                <w:kern w:val="0"/>
                <w:sz w:val="20"/>
                <w:szCs w:val="20"/>
                <w:lang w:bidi="ar"/>
              </w:rPr>
              <w:t> </w:t>
            </w: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943" w:type="dxa"/>
            <w:vMerge w:val="restart"/>
            <w:tcBorders>
              <w:top w:val="outset" w:color="auto" w:sz="8" w:space="0"/>
              <w:left w:val="nil"/>
              <w:bottom w:val="outset" w:color="auto" w:sz="8" w:space="0"/>
              <w:right w:val="single" w:color="auto" w:sz="8" w:space="0"/>
            </w:tcBorders>
            <w:shd w:val="clear" w:color="auto" w:fill="DDEBF7"/>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（六）其他处理</w:t>
            </w: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outset" w:color="auto" w:sz="8" w:space="0"/>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0" w:type="auto"/>
            <w:vMerge w:val="continue"/>
            <w:tcBorders>
              <w:top w:val="outset" w:color="auto" w:sz="8" w:space="0"/>
              <w:left w:val="nil"/>
              <w:bottom w:val="outset" w:color="auto" w:sz="8" w:space="0"/>
              <w:right w:val="single" w:color="auto" w:sz="8" w:space="0"/>
            </w:tcBorders>
            <w:vAlign w:val="center"/>
          </w:tcPr>
          <w:p>
            <w:pPr>
              <w:widowControl/>
              <w:jc w:val="left"/>
            </w:pPr>
          </w:p>
        </w:tc>
        <w:tc>
          <w:tcPr>
            <w:tcW w:w="3218" w:type="dxa"/>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3.其他</w:t>
            </w:r>
          </w:p>
        </w:tc>
        <w:tc>
          <w:tcPr>
            <w:tcW w:w="69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eastAsia" w:eastAsia="宋体"/>
                <w:lang w:eastAsia="zh-CN"/>
              </w:rPr>
            </w:pPr>
            <w:r>
              <w:rPr>
                <w:rFonts w:cs="Calibri"/>
                <w:kern w:val="0"/>
                <w:sz w:val="20"/>
                <w:szCs w:val="20"/>
                <w:lang w:bidi="ar"/>
              </w:rPr>
              <w:t> </w:t>
            </w:r>
            <w:r>
              <w:rPr>
                <w:rFonts w:hint="eastAsia" w:cs="Calibri"/>
                <w:kern w:val="0"/>
                <w:sz w:val="20"/>
                <w:szCs w:val="2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outset" w:color="auto" w:sz="8" w:space="0"/>
              <w:right w:val="single" w:color="auto" w:sz="8" w:space="0"/>
            </w:tcBorders>
            <w:vAlign w:val="center"/>
          </w:tcPr>
          <w:p>
            <w:pPr>
              <w:widowControl/>
              <w:jc w:val="left"/>
            </w:pPr>
          </w:p>
        </w:tc>
        <w:tc>
          <w:tcPr>
            <w:tcW w:w="4161" w:type="dxa"/>
            <w:gridSpan w:val="2"/>
            <w:tcBorders>
              <w:top w:val="nil"/>
              <w:left w:val="nil"/>
              <w:bottom w:val="single" w:color="auto" w:sz="8" w:space="0"/>
              <w:right w:val="single" w:color="auto" w:sz="8" w:space="0"/>
            </w:tcBorders>
            <w:shd w:val="clear" w:color="auto" w:fill="DDEBF7"/>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（七）总计</w:t>
            </w:r>
          </w:p>
        </w:tc>
        <w:tc>
          <w:tcPr>
            <w:tcW w:w="69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eastAsia="宋体"/>
                <w:lang w:val="en-US" w:eastAsia="zh-CN"/>
              </w:rPr>
            </w:pPr>
            <w:r>
              <w:rPr>
                <w:rFonts w:hint="eastAsia"/>
                <w:lang w:val="en-US" w:eastAsia="zh-CN"/>
              </w:rPr>
              <w:t>23</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eastAsia="宋体"/>
                <w:lang w:val="en-US" w:eastAsia="zh-CN"/>
              </w:rPr>
            </w:pPr>
            <w:r>
              <w:rPr>
                <w:rFonts w:hint="eastAsia"/>
                <w:lang w:val="en-US" w:eastAsia="zh-CN"/>
              </w:rPr>
              <w:t>4</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hint="default" w:eastAsia="宋体"/>
                <w:lang w:val="en-US" w:eastAsia="zh-CN"/>
              </w:rPr>
            </w:pPr>
            <w:r>
              <w:rPr>
                <w:rFonts w:hint="eastAsia"/>
                <w:lang w:val="en-US" w:eastAsia="zh-CN"/>
              </w:rPr>
              <w:t>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tcMar>
              <w:top w:w="0" w:type="dxa"/>
              <w:left w:w="57" w:type="dxa"/>
              <w:bottom w:w="0"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91" w:type="dxa"/>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c>
          <w:tcPr>
            <w:tcW w:w="0" w:type="auto"/>
            <w:tcBorders>
              <w:top w:val="outset" w:color="auto" w:sz="6" w:space="0"/>
              <w:left w:val="nil"/>
              <w:bottom w:val="outset" w:color="auto" w:sz="6" w:space="0"/>
              <w:right w:val="outset" w:color="auto" w:sz="6" w:space="0"/>
            </w:tcBorders>
            <w:vAlign w:val="center"/>
          </w:tcPr>
          <w:p>
            <w:pPr>
              <w:widowControl/>
              <w:jc w:val="center"/>
              <w:rPr>
                <w:rFonts w:cs="Calibri"/>
                <w:kern w:val="0"/>
                <w:sz w:val="20"/>
                <w:szCs w:val="20"/>
                <w:lang w:bidi="ar"/>
              </w:rPr>
            </w:pPr>
            <w:r>
              <w:rPr>
                <w:rFonts w:hint="eastAsia" w:cs="Calibri"/>
                <w:kern w:val="0"/>
                <w:sz w:val="20"/>
                <w:szCs w:val="20"/>
                <w:lang w:bidi="ar"/>
              </w:rPr>
              <w:t>0</w:t>
            </w:r>
          </w:p>
        </w:tc>
      </w:tr>
    </w:tbl>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7"/>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lang w:bidi="ar"/>
              </w:rPr>
            </w:pPr>
            <w:r>
              <w:rPr>
                <w:rFonts w:hint="eastAsia" w:cs="Calibri"/>
                <w:kern w:val="0"/>
                <w:sz w:val="20"/>
                <w:szCs w:val="20"/>
                <w:lang w:bidi="ar"/>
              </w:rPr>
              <w:t>0 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lang w:bidi="ar"/>
              </w:rPr>
            </w:pPr>
            <w:r>
              <w:rPr>
                <w:rFonts w:hint="eastAsia" w:cs="Calibri"/>
                <w:kern w:val="0"/>
                <w:sz w:val="20"/>
                <w:szCs w:val="20"/>
                <w:lang w:bidi="ar"/>
              </w:rPr>
              <w:t>0 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lang w:bidi="ar"/>
              </w:rPr>
            </w:pPr>
            <w:r>
              <w:rPr>
                <w:rFonts w:hint="eastAsia" w:cs="Calibri"/>
                <w:kern w:val="0"/>
                <w:sz w:val="20"/>
                <w:szCs w:val="20"/>
                <w:lang w:bidi="ar"/>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eastAsia="宋体" w:cs="Calibri"/>
                <w:kern w:val="0"/>
                <w:sz w:val="20"/>
                <w:szCs w:val="20"/>
                <w:lang w:eastAsia="zh-CN" w:bidi="ar"/>
              </w:rPr>
            </w:pPr>
            <w:r>
              <w:rPr>
                <w:rFonts w:hint="eastAsia" w:cs="Calibri"/>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lang w:bidi="ar"/>
              </w:rPr>
            </w:pPr>
            <w:r>
              <w:rPr>
                <w:rFonts w:hint="eastAsia" w:cs="Calibri"/>
                <w:kern w:val="0"/>
                <w:sz w:val="20"/>
                <w:szCs w:val="20"/>
                <w:lang w:bidi="ar"/>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lang w:bidi="ar"/>
              </w:rPr>
            </w:pPr>
            <w:r>
              <w:rPr>
                <w:rFonts w:hint="eastAsia" w:cs="Calibri"/>
                <w:kern w:val="0"/>
                <w:sz w:val="20"/>
                <w:szCs w:val="20"/>
                <w:lang w:bidi="ar"/>
              </w:rPr>
              <w:t>0 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1</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lang w:bidi="ar"/>
              </w:rPr>
            </w:pPr>
            <w:r>
              <w:rPr>
                <w:rFonts w:hint="eastAsia" w:cs="Calibri"/>
                <w:kern w:val="0"/>
                <w:sz w:val="20"/>
                <w:szCs w:val="20"/>
                <w:lang w:bidi="ar"/>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lang w:bidi="ar"/>
              </w:rPr>
            </w:pPr>
            <w:r>
              <w:rPr>
                <w:rFonts w:hint="eastAsia" w:cs="Calibri"/>
                <w:kern w:val="0"/>
                <w:sz w:val="20"/>
                <w:szCs w:val="20"/>
                <w:lang w:bidi="ar"/>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lang w:bidi="ar"/>
              </w:rPr>
            </w:pPr>
            <w:r>
              <w:rPr>
                <w:rFonts w:hint="eastAsia" w:cs="Calibri"/>
                <w:kern w:val="0"/>
                <w:sz w:val="20"/>
                <w:szCs w:val="20"/>
                <w:lang w:val="en-US" w:eastAsia="zh-CN" w:bidi="ar"/>
              </w:rPr>
              <w:t>0</w:t>
            </w:r>
            <w:r>
              <w:rPr>
                <w:rFonts w:hint="eastAsia" w:cs="Calibri"/>
                <w:kern w:val="0"/>
                <w:sz w:val="20"/>
                <w:szCs w:val="20"/>
                <w:lang w:bidi="ar"/>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cs="Calibri"/>
                <w:kern w:val="0"/>
                <w:sz w:val="20"/>
                <w:szCs w:val="20"/>
                <w:lang w:bidi="ar"/>
              </w:rPr>
            </w:pPr>
            <w:r>
              <w:rPr>
                <w:rFonts w:hint="eastAsia" w:cs="Calibri"/>
                <w:kern w:val="0"/>
                <w:sz w:val="20"/>
                <w:szCs w:val="20"/>
                <w:lang w:bidi="ar"/>
              </w:rPr>
              <w:t> 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eastAsia="宋体" w:cs="Calibri"/>
                <w:kern w:val="0"/>
                <w:sz w:val="20"/>
                <w:szCs w:val="20"/>
                <w:lang w:val="en-US" w:eastAsia="zh-CN" w:bidi="ar"/>
              </w:rPr>
            </w:pPr>
            <w:r>
              <w:rPr>
                <w:rFonts w:hint="eastAsia" w:cs="Calibri"/>
                <w:kern w:val="0"/>
                <w:sz w:val="20"/>
                <w:szCs w:val="20"/>
                <w:lang w:val="en-US" w:eastAsia="zh-CN" w:bidi="ar"/>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hint="eastAsia" w:ascii="黑体" w:hAnsi="黑体" w:eastAsia="黑体" w:cs="宋体"/>
          <w:spacing w:val="8"/>
          <w:kern w:val="0"/>
          <w:sz w:val="32"/>
          <w:szCs w:val="32"/>
        </w:rPr>
        <w:t>五、存在的主要问题及改进情况</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市药监局</w:t>
      </w:r>
      <w:r>
        <w:rPr>
          <w:rFonts w:hint="eastAsia" w:ascii="仿宋_GB2312" w:hAnsi="宋体" w:eastAsia="仿宋_GB2312" w:cs="宋体"/>
          <w:spacing w:val="8"/>
          <w:kern w:val="0"/>
          <w:sz w:val="32"/>
          <w:szCs w:val="32"/>
          <w:lang w:eastAsia="zh-CN"/>
        </w:rPr>
        <w:t>持续完善</w:t>
      </w:r>
      <w:r>
        <w:rPr>
          <w:rFonts w:hint="eastAsia" w:ascii="仿宋_GB2312" w:hAnsi="宋体" w:eastAsia="仿宋_GB2312" w:cs="宋体"/>
          <w:spacing w:val="8"/>
          <w:kern w:val="0"/>
          <w:sz w:val="32"/>
          <w:szCs w:val="32"/>
        </w:rPr>
        <w:t>政府信息公开工作</w:t>
      </w:r>
      <w:r>
        <w:rPr>
          <w:rFonts w:hint="eastAsia" w:ascii="仿宋_GB2312" w:hAnsi="宋体" w:eastAsia="仿宋_GB2312" w:cs="宋体"/>
          <w:spacing w:val="8"/>
          <w:kern w:val="0"/>
          <w:sz w:val="32"/>
          <w:szCs w:val="32"/>
          <w:lang w:eastAsia="zh-CN"/>
        </w:rPr>
        <w:t>机制，切实保障社会公众的知情权、参与权，针对</w:t>
      </w:r>
      <w:r>
        <w:rPr>
          <w:rFonts w:hint="eastAsia" w:ascii="仿宋_GB2312" w:hAnsi="宋体" w:eastAsia="仿宋_GB2312" w:cs="宋体"/>
          <w:spacing w:val="8"/>
          <w:kern w:val="0"/>
          <w:sz w:val="32"/>
          <w:szCs w:val="32"/>
        </w:rPr>
        <w:t>政府信息公开意识需进一步加强、重公开轻解读现象需进一步改善、舆论引导能力需进一步提升等不足之处</w:t>
      </w:r>
      <w:r>
        <w:rPr>
          <w:rFonts w:hint="eastAsia" w:ascii="仿宋_GB2312" w:hAnsi="宋体" w:eastAsia="仿宋_GB2312" w:cs="宋体"/>
          <w:spacing w:val="8"/>
          <w:kern w:val="0"/>
          <w:sz w:val="32"/>
          <w:szCs w:val="32"/>
          <w:lang w:val="en-US" w:eastAsia="zh-CN"/>
        </w:rPr>
        <w:t>,切实改进工作，在局党组会上对信息公开工作进行通报，提出明确要求。督促全系统严格</w:t>
      </w:r>
      <w:r>
        <w:rPr>
          <w:rFonts w:hint="eastAsia" w:ascii="仿宋_GB2312" w:hAnsi="宋体" w:eastAsia="仿宋_GB2312" w:cs="宋体"/>
          <w:spacing w:val="8"/>
          <w:kern w:val="0"/>
          <w:sz w:val="32"/>
          <w:szCs w:val="32"/>
        </w:rPr>
        <w:t>按照“以公开为原则，不公开为例外”的总体要求，围绕重点工作，以公开提升政策服务，为</w:t>
      </w:r>
      <w:r>
        <w:rPr>
          <w:rFonts w:hint="eastAsia" w:ascii="仿宋_GB2312" w:hAnsi="宋体" w:eastAsia="仿宋_GB2312" w:cs="宋体"/>
          <w:spacing w:val="8"/>
          <w:kern w:val="0"/>
          <w:sz w:val="32"/>
          <w:szCs w:val="32"/>
          <w:lang w:eastAsia="zh-CN"/>
        </w:rPr>
        <w:t>公</w:t>
      </w:r>
      <w:r>
        <w:rPr>
          <w:rFonts w:hint="eastAsia" w:ascii="仿宋_GB2312" w:hAnsi="宋体" w:eastAsia="仿宋_GB2312" w:cs="宋体"/>
          <w:spacing w:val="8"/>
          <w:kern w:val="0"/>
          <w:sz w:val="32"/>
          <w:szCs w:val="32"/>
        </w:rPr>
        <w:t>众提供政策快捷咨询服务</w:t>
      </w:r>
      <w:r>
        <w:rPr>
          <w:rFonts w:hint="eastAsia" w:ascii="仿宋_GB2312" w:hAnsi="宋体" w:eastAsia="仿宋_GB2312" w:cs="宋体"/>
          <w:spacing w:val="8"/>
          <w:kern w:val="0"/>
          <w:sz w:val="32"/>
          <w:szCs w:val="32"/>
          <w:lang w:eastAsia="zh-CN"/>
        </w:rPr>
        <w:t>；严格遵守公开程序和时限，坚决维护政府信息公开工作的权威性和严肃性，</w:t>
      </w:r>
      <w:r>
        <w:rPr>
          <w:rFonts w:hint="eastAsia" w:ascii="仿宋_GB2312" w:hAnsi="宋体" w:eastAsia="仿宋_GB2312" w:cs="宋体"/>
          <w:spacing w:val="8"/>
          <w:kern w:val="0"/>
          <w:sz w:val="32"/>
          <w:szCs w:val="32"/>
        </w:rPr>
        <w:t>依法、及时、准确、全面公开公众普遍关心、涉及切身利益的政府信息；</w:t>
      </w:r>
      <w:r>
        <w:rPr>
          <w:rFonts w:hint="eastAsia" w:ascii="仿宋_GB2312" w:hAnsi="宋体" w:eastAsia="仿宋_GB2312" w:cs="宋体"/>
          <w:spacing w:val="8"/>
          <w:kern w:val="0"/>
          <w:sz w:val="32"/>
          <w:szCs w:val="32"/>
          <w:lang w:eastAsia="zh-CN"/>
        </w:rPr>
        <w:t>通过文字、图片等多种方式，加大</w:t>
      </w:r>
      <w:r>
        <w:rPr>
          <w:rFonts w:hint="eastAsia" w:ascii="仿宋_GB2312" w:hAnsi="宋体" w:eastAsia="仿宋_GB2312" w:cs="宋体"/>
          <w:spacing w:val="8"/>
          <w:kern w:val="0"/>
          <w:sz w:val="32"/>
          <w:szCs w:val="32"/>
        </w:rPr>
        <w:t>政策解读</w:t>
      </w:r>
      <w:r>
        <w:rPr>
          <w:rFonts w:hint="eastAsia" w:ascii="仿宋_GB2312" w:hAnsi="宋体" w:eastAsia="仿宋_GB2312" w:cs="宋体"/>
          <w:spacing w:val="8"/>
          <w:kern w:val="0"/>
          <w:sz w:val="32"/>
          <w:szCs w:val="32"/>
          <w:lang w:eastAsia="zh-CN"/>
        </w:rPr>
        <w:t>力度</w:t>
      </w:r>
      <w:r>
        <w:rPr>
          <w:rFonts w:hint="eastAsia" w:ascii="仿宋_GB2312" w:hAnsi="宋体" w:eastAsia="仿宋_GB2312" w:cs="宋体"/>
          <w:spacing w:val="8"/>
          <w:kern w:val="0"/>
          <w:sz w:val="32"/>
          <w:szCs w:val="32"/>
        </w:rPr>
        <w:t>；以“</w:t>
      </w:r>
      <w:r>
        <w:rPr>
          <w:rFonts w:hint="eastAsia" w:ascii="仿宋_GB2312" w:hAnsi="宋体" w:eastAsia="仿宋_GB2312" w:cs="宋体"/>
          <w:spacing w:val="8"/>
          <w:kern w:val="0"/>
          <w:sz w:val="32"/>
          <w:szCs w:val="32"/>
          <w:lang w:eastAsia="zh-CN"/>
        </w:rPr>
        <w:t>安</w:t>
      </w:r>
      <w:r>
        <w:rPr>
          <w:rFonts w:hint="eastAsia" w:ascii="仿宋_GB2312" w:hAnsi="宋体" w:eastAsia="仿宋_GB2312" w:cs="宋体"/>
          <w:spacing w:val="8"/>
          <w:kern w:val="0"/>
          <w:sz w:val="32"/>
          <w:szCs w:val="32"/>
        </w:rPr>
        <w:t>全</w:t>
      </w:r>
      <w:r>
        <w:rPr>
          <w:rFonts w:hint="eastAsia" w:ascii="仿宋_GB2312" w:hAnsi="宋体" w:eastAsia="仿宋_GB2312" w:cs="宋体"/>
          <w:spacing w:val="8"/>
          <w:kern w:val="0"/>
          <w:sz w:val="32"/>
          <w:szCs w:val="32"/>
          <w:lang w:eastAsia="zh-CN"/>
        </w:rPr>
        <w:t>用药</w:t>
      </w:r>
      <w:r>
        <w:rPr>
          <w:rFonts w:hint="eastAsia" w:ascii="仿宋_GB2312" w:hAnsi="宋体" w:eastAsia="仿宋_GB2312" w:cs="宋体"/>
          <w:spacing w:val="8"/>
          <w:kern w:val="0"/>
          <w:sz w:val="32"/>
          <w:szCs w:val="32"/>
        </w:rPr>
        <w:t>月”</w:t>
      </w:r>
      <w:r>
        <w:rPr>
          <w:rFonts w:hint="eastAsia" w:ascii="仿宋_GB2312" w:hAnsi="宋体" w:eastAsia="仿宋_GB2312" w:cs="宋体"/>
          <w:spacing w:val="8"/>
          <w:kern w:val="0"/>
          <w:sz w:val="32"/>
          <w:szCs w:val="32"/>
          <w:lang w:eastAsia="zh-CN"/>
        </w:rPr>
        <w:t>“医疗器械安全宣传周”“化妆品安全科普宣传周”“企业咨询日”</w:t>
      </w:r>
      <w:r>
        <w:rPr>
          <w:rFonts w:hint="eastAsia" w:ascii="仿宋_GB2312" w:hAnsi="宋体" w:eastAsia="仿宋_GB2312" w:cs="宋体"/>
          <w:spacing w:val="8"/>
          <w:kern w:val="0"/>
          <w:sz w:val="32"/>
          <w:szCs w:val="32"/>
        </w:rPr>
        <w:t>等活动来丰富</w:t>
      </w:r>
      <w:r>
        <w:rPr>
          <w:rFonts w:hint="eastAsia" w:ascii="仿宋_GB2312" w:hAnsi="宋体" w:eastAsia="仿宋_GB2312" w:cs="宋体"/>
          <w:spacing w:val="8"/>
          <w:kern w:val="0"/>
          <w:sz w:val="32"/>
          <w:szCs w:val="32"/>
          <w:lang w:eastAsia="zh-CN"/>
        </w:rPr>
        <w:t>信息公开</w:t>
      </w:r>
      <w:r>
        <w:rPr>
          <w:rFonts w:hint="eastAsia" w:ascii="仿宋_GB2312" w:hAnsi="宋体" w:eastAsia="仿宋_GB2312" w:cs="宋体"/>
          <w:spacing w:val="8"/>
          <w:kern w:val="0"/>
          <w:sz w:val="32"/>
          <w:szCs w:val="32"/>
        </w:rPr>
        <w:t>形式和内容，进一步提升社会共治效果。</w:t>
      </w:r>
    </w:p>
    <w:p>
      <w:pPr>
        <w:widowControl/>
        <w:spacing w:line="560" w:lineRule="exact"/>
        <w:ind w:firstLine="675"/>
        <w:jc w:val="left"/>
        <w:rPr>
          <w:rFonts w:ascii="宋体" w:hAnsi="宋体" w:cs="宋体"/>
          <w:spacing w:val="8"/>
          <w:kern w:val="0"/>
          <w:sz w:val="32"/>
          <w:szCs w:val="32"/>
        </w:rPr>
      </w:pPr>
      <w:r>
        <w:rPr>
          <w:rFonts w:hint="eastAsia" w:ascii="黑体" w:hAnsi="黑体" w:eastAsia="黑体" w:cs="宋体"/>
          <w:spacing w:val="8"/>
          <w:kern w:val="0"/>
          <w:sz w:val="32"/>
          <w:szCs w:val="32"/>
        </w:rPr>
        <w:t>六、其他需要报告的事项</w:t>
      </w:r>
    </w:p>
    <w:p>
      <w:pPr>
        <w:widowControl/>
        <w:spacing w:line="560" w:lineRule="exact"/>
        <w:ind w:firstLine="672"/>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政府信息公开信息处理费方面，市药监局发出收费通知的件数和总金额以及实际收取的总金额均为零。</w:t>
      </w:r>
    </w:p>
    <w:p>
      <w:pPr>
        <w:pStyle w:val="2"/>
        <w:ind w:firstLine="672"/>
      </w:pPr>
      <w:r>
        <w:rPr>
          <w:rFonts w:hint="eastAsia" w:ascii="仿宋_GB2312" w:hAnsi="宋体" w:eastAsia="仿宋_GB2312" w:cs="宋体"/>
          <w:spacing w:val="8"/>
          <w:kern w:val="0"/>
          <w:sz w:val="32"/>
          <w:szCs w:val="32"/>
          <w:lang w:eastAsia="zh-CN"/>
        </w:rPr>
        <w:t>北京市药品监督管理局门户</w:t>
      </w:r>
      <w:r>
        <w:rPr>
          <w:rFonts w:hint="eastAsia" w:ascii="仿宋_GB2312" w:hAnsi="宋体" w:eastAsia="仿宋_GB2312" w:cs="宋体"/>
          <w:spacing w:val="8"/>
          <w:kern w:val="0"/>
          <w:sz w:val="32"/>
          <w:szCs w:val="32"/>
        </w:rPr>
        <w:t>网站</w:t>
      </w:r>
      <w:r>
        <w:rPr>
          <w:rFonts w:hint="eastAsia" w:ascii="仿宋_GB2312" w:hAnsi="宋体" w:eastAsia="仿宋_GB2312" w:cs="宋体"/>
          <w:spacing w:val="8"/>
          <w:kern w:val="0"/>
          <w:sz w:val="32"/>
          <w:szCs w:val="32"/>
          <w:lang w:eastAsia="zh-CN"/>
        </w:rPr>
        <w:t>网址为</w:t>
      </w:r>
      <w:r>
        <w:rPr>
          <w:rFonts w:hint="eastAsia" w:ascii="仿宋_GB2312" w:hAnsi="宋体" w:eastAsia="仿宋_GB2312" w:cs="宋体"/>
          <w:spacing w:val="8"/>
          <w:kern w:val="0"/>
          <w:sz w:val="32"/>
          <w:szCs w:val="32"/>
        </w:rPr>
        <w:t>http://yjj.beijing.gov.cn/</w:t>
      </w:r>
      <w:r>
        <w:rPr>
          <w:rFonts w:hint="eastAsia" w:ascii="仿宋_GB2312" w:hAnsi="宋体" w:eastAsia="仿宋_GB2312" w:cs="宋体"/>
          <w:spacing w:val="8"/>
          <w:kern w:val="0"/>
          <w:sz w:val="32"/>
          <w:szCs w:val="32"/>
          <w:lang w:val="en-US" w:eastAsia="zh-CN"/>
        </w:rPr>
        <w:t>,</w:t>
      </w:r>
      <w:r>
        <w:rPr>
          <w:rFonts w:hint="eastAsia" w:ascii="仿宋_GB2312" w:hAnsi="宋体" w:eastAsia="仿宋_GB2312" w:cs="宋体"/>
          <w:spacing w:val="8"/>
          <w:kern w:val="0"/>
          <w:sz w:val="32"/>
          <w:szCs w:val="32"/>
        </w:rPr>
        <w:t>如需了解更多政府信息，请登录查询。</w:t>
      </w:r>
    </w:p>
    <w:p>
      <w:pPr>
        <w:widowControl/>
        <w:spacing w:line="560" w:lineRule="exact"/>
        <w:jc w:val="left"/>
      </w:pPr>
    </w:p>
    <w:sectPr>
      <w:footerReference r:id="rId3" w:type="default"/>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6863787"/>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48E"/>
    <w:rsid w:val="0000632B"/>
    <w:rsid w:val="00012B63"/>
    <w:rsid w:val="0002268F"/>
    <w:rsid w:val="000235DB"/>
    <w:rsid w:val="000404DC"/>
    <w:rsid w:val="00040D8D"/>
    <w:rsid w:val="0004279C"/>
    <w:rsid w:val="000440DB"/>
    <w:rsid w:val="000462E6"/>
    <w:rsid w:val="0006026E"/>
    <w:rsid w:val="00080460"/>
    <w:rsid w:val="00081041"/>
    <w:rsid w:val="000824C7"/>
    <w:rsid w:val="0008386A"/>
    <w:rsid w:val="00086055"/>
    <w:rsid w:val="0008650B"/>
    <w:rsid w:val="0008686D"/>
    <w:rsid w:val="00093C35"/>
    <w:rsid w:val="000953AA"/>
    <w:rsid w:val="000A2918"/>
    <w:rsid w:val="000B018D"/>
    <w:rsid w:val="000B1AEE"/>
    <w:rsid w:val="000B269F"/>
    <w:rsid w:val="000C28DD"/>
    <w:rsid w:val="000C3E83"/>
    <w:rsid w:val="000D2C57"/>
    <w:rsid w:val="000D496E"/>
    <w:rsid w:val="000D5237"/>
    <w:rsid w:val="000D6507"/>
    <w:rsid w:val="000D79D6"/>
    <w:rsid w:val="000E0DA0"/>
    <w:rsid w:val="000E1C51"/>
    <w:rsid w:val="000E37A7"/>
    <w:rsid w:val="000E3EE6"/>
    <w:rsid w:val="000E55FA"/>
    <w:rsid w:val="000F5826"/>
    <w:rsid w:val="00104298"/>
    <w:rsid w:val="00110C05"/>
    <w:rsid w:val="00111BCA"/>
    <w:rsid w:val="0012071A"/>
    <w:rsid w:val="001227FD"/>
    <w:rsid w:val="001272BF"/>
    <w:rsid w:val="001315F8"/>
    <w:rsid w:val="00132497"/>
    <w:rsid w:val="0013630B"/>
    <w:rsid w:val="00140BE4"/>
    <w:rsid w:val="00153831"/>
    <w:rsid w:val="00163C9D"/>
    <w:rsid w:val="001657C1"/>
    <w:rsid w:val="00170B70"/>
    <w:rsid w:val="00170D71"/>
    <w:rsid w:val="00172F3C"/>
    <w:rsid w:val="001952F0"/>
    <w:rsid w:val="00196C99"/>
    <w:rsid w:val="00197B38"/>
    <w:rsid w:val="001A22C2"/>
    <w:rsid w:val="001A7CE2"/>
    <w:rsid w:val="001B6990"/>
    <w:rsid w:val="001C5C4B"/>
    <w:rsid w:val="001D1EFD"/>
    <w:rsid w:val="001D5211"/>
    <w:rsid w:val="001D7F56"/>
    <w:rsid w:val="001E2013"/>
    <w:rsid w:val="001E3EDB"/>
    <w:rsid w:val="001E4287"/>
    <w:rsid w:val="001E64D5"/>
    <w:rsid w:val="001F309E"/>
    <w:rsid w:val="001F45CC"/>
    <w:rsid w:val="001F4B03"/>
    <w:rsid w:val="00214919"/>
    <w:rsid w:val="00216FEB"/>
    <w:rsid w:val="00222E3E"/>
    <w:rsid w:val="00227CB7"/>
    <w:rsid w:val="002329B0"/>
    <w:rsid w:val="0024023B"/>
    <w:rsid w:val="002429FB"/>
    <w:rsid w:val="0025214A"/>
    <w:rsid w:val="00253285"/>
    <w:rsid w:val="00260EBF"/>
    <w:rsid w:val="0026626D"/>
    <w:rsid w:val="0026776B"/>
    <w:rsid w:val="00270702"/>
    <w:rsid w:val="00271E2F"/>
    <w:rsid w:val="00272225"/>
    <w:rsid w:val="00273D0D"/>
    <w:rsid w:val="00273FFB"/>
    <w:rsid w:val="00276DE4"/>
    <w:rsid w:val="00277F7A"/>
    <w:rsid w:val="002809EE"/>
    <w:rsid w:val="002835CC"/>
    <w:rsid w:val="002962C2"/>
    <w:rsid w:val="002962E1"/>
    <w:rsid w:val="00296A00"/>
    <w:rsid w:val="002A079A"/>
    <w:rsid w:val="002A0E92"/>
    <w:rsid w:val="002A138F"/>
    <w:rsid w:val="002A7A9B"/>
    <w:rsid w:val="002C2B2B"/>
    <w:rsid w:val="002C5D20"/>
    <w:rsid w:val="002D3566"/>
    <w:rsid w:val="002D5533"/>
    <w:rsid w:val="002D7213"/>
    <w:rsid w:val="002E49A4"/>
    <w:rsid w:val="002E6C7F"/>
    <w:rsid w:val="002E7D9A"/>
    <w:rsid w:val="002E7E3C"/>
    <w:rsid w:val="002F0523"/>
    <w:rsid w:val="003027A6"/>
    <w:rsid w:val="00304932"/>
    <w:rsid w:val="00304DE1"/>
    <w:rsid w:val="003053E6"/>
    <w:rsid w:val="003102AC"/>
    <w:rsid w:val="003150E3"/>
    <w:rsid w:val="00316AE6"/>
    <w:rsid w:val="00321C93"/>
    <w:rsid w:val="00324564"/>
    <w:rsid w:val="00326356"/>
    <w:rsid w:val="00334BE2"/>
    <w:rsid w:val="003359FD"/>
    <w:rsid w:val="00343268"/>
    <w:rsid w:val="003468B2"/>
    <w:rsid w:val="00350EBD"/>
    <w:rsid w:val="0035639C"/>
    <w:rsid w:val="003566FB"/>
    <w:rsid w:val="00361BCB"/>
    <w:rsid w:val="00362C46"/>
    <w:rsid w:val="0037033D"/>
    <w:rsid w:val="00370D4E"/>
    <w:rsid w:val="00371181"/>
    <w:rsid w:val="0037408E"/>
    <w:rsid w:val="00381304"/>
    <w:rsid w:val="00386A6C"/>
    <w:rsid w:val="00395A30"/>
    <w:rsid w:val="003B015F"/>
    <w:rsid w:val="003B19FF"/>
    <w:rsid w:val="003B2E5E"/>
    <w:rsid w:val="003B5E19"/>
    <w:rsid w:val="003B615A"/>
    <w:rsid w:val="003B6548"/>
    <w:rsid w:val="003C026D"/>
    <w:rsid w:val="003C3BCF"/>
    <w:rsid w:val="003C72BA"/>
    <w:rsid w:val="003E0F40"/>
    <w:rsid w:val="003E20E5"/>
    <w:rsid w:val="003E64C0"/>
    <w:rsid w:val="004015AC"/>
    <w:rsid w:val="0040303A"/>
    <w:rsid w:val="00403C16"/>
    <w:rsid w:val="004058F3"/>
    <w:rsid w:val="00410CB4"/>
    <w:rsid w:val="00415474"/>
    <w:rsid w:val="00415C9C"/>
    <w:rsid w:val="00420199"/>
    <w:rsid w:val="004249AE"/>
    <w:rsid w:val="00430477"/>
    <w:rsid w:val="00430FAB"/>
    <w:rsid w:val="00441465"/>
    <w:rsid w:val="00441B7F"/>
    <w:rsid w:val="00446362"/>
    <w:rsid w:val="0045146A"/>
    <w:rsid w:val="00454A8A"/>
    <w:rsid w:val="00455A82"/>
    <w:rsid w:val="00462412"/>
    <w:rsid w:val="004665D1"/>
    <w:rsid w:val="00472A30"/>
    <w:rsid w:val="004734C1"/>
    <w:rsid w:val="004878F9"/>
    <w:rsid w:val="004906A5"/>
    <w:rsid w:val="00496937"/>
    <w:rsid w:val="00496CDE"/>
    <w:rsid w:val="0049722B"/>
    <w:rsid w:val="004A0713"/>
    <w:rsid w:val="004B1F44"/>
    <w:rsid w:val="004B6C27"/>
    <w:rsid w:val="004C24A2"/>
    <w:rsid w:val="004C3E30"/>
    <w:rsid w:val="004C4C15"/>
    <w:rsid w:val="004C7301"/>
    <w:rsid w:val="004D04CD"/>
    <w:rsid w:val="004D335A"/>
    <w:rsid w:val="004E6F2D"/>
    <w:rsid w:val="004F3648"/>
    <w:rsid w:val="004F747C"/>
    <w:rsid w:val="00501D36"/>
    <w:rsid w:val="00502E19"/>
    <w:rsid w:val="00504905"/>
    <w:rsid w:val="005154F0"/>
    <w:rsid w:val="0051567D"/>
    <w:rsid w:val="00521AE7"/>
    <w:rsid w:val="00522383"/>
    <w:rsid w:val="0053063F"/>
    <w:rsid w:val="00542D2E"/>
    <w:rsid w:val="00543E12"/>
    <w:rsid w:val="00555151"/>
    <w:rsid w:val="005636BB"/>
    <w:rsid w:val="00565A6E"/>
    <w:rsid w:val="00567441"/>
    <w:rsid w:val="005709E5"/>
    <w:rsid w:val="0057358E"/>
    <w:rsid w:val="0057631F"/>
    <w:rsid w:val="00576CC5"/>
    <w:rsid w:val="00581DD7"/>
    <w:rsid w:val="00582C75"/>
    <w:rsid w:val="005831EE"/>
    <w:rsid w:val="005874D6"/>
    <w:rsid w:val="005904B9"/>
    <w:rsid w:val="0059476B"/>
    <w:rsid w:val="005A0956"/>
    <w:rsid w:val="005B4241"/>
    <w:rsid w:val="005D6832"/>
    <w:rsid w:val="005E2BFF"/>
    <w:rsid w:val="00602704"/>
    <w:rsid w:val="00604145"/>
    <w:rsid w:val="006072FA"/>
    <w:rsid w:val="0062333A"/>
    <w:rsid w:val="006334CD"/>
    <w:rsid w:val="006458D7"/>
    <w:rsid w:val="00653F4E"/>
    <w:rsid w:val="00662D6F"/>
    <w:rsid w:val="0066548E"/>
    <w:rsid w:val="00667319"/>
    <w:rsid w:val="00671DF2"/>
    <w:rsid w:val="00672678"/>
    <w:rsid w:val="00673E45"/>
    <w:rsid w:val="00675442"/>
    <w:rsid w:val="00676D1A"/>
    <w:rsid w:val="00677F53"/>
    <w:rsid w:val="00680F5C"/>
    <w:rsid w:val="006827FD"/>
    <w:rsid w:val="0068660C"/>
    <w:rsid w:val="006876D2"/>
    <w:rsid w:val="00687703"/>
    <w:rsid w:val="00692E49"/>
    <w:rsid w:val="006A3271"/>
    <w:rsid w:val="006A38C2"/>
    <w:rsid w:val="006B25F6"/>
    <w:rsid w:val="006B4BBB"/>
    <w:rsid w:val="006B6671"/>
    <w:rsid w:val="006B73BB"/>
    <w:rsid w:val="006C1889"/>
    <w:rsid w:val="006C1B92"/>
    <w:rsid w:val="006C38D3"/>
    <w:rsid w:val="006E1E5B"/>
    <w:rsid w:val="006E4923"/>
    <w:rsid w:val="006E53D1"/>
    <w:rsid w:val="006E5DAB"/>
    <w:rsid w:val="006F153F"/>
    <w:rsid w:val="006F28B9"/>
    <w:rsid w:val="006F4961"/>
    <w:rsid w:val="00702A1F"/>
    <w:rsid w:val="00702ED2"/>
    <w:rsid w:val="00710850"/>
    <w:rsid w:val="00710D4C"/>
    <w:rsid w:val="00722DE2"/>
    <w:rsid w:val="00724D0B"/>
    <w:rsid w:val="00724F08"/>
    <w:rsid w:val="00740703"/>
    <w:rsid w:val="007419CF"/>
    <w:rsid w:val="0075100D"/>
    <w:rsid w:val="00754A3E"/>
    <w:rsid w:val="007610CD"/>
    <w:rsid w:val="0076244C"/>
    <w:rsid w:val="00764985"/>
    <w:rsid w:val="007715CF"/>
    <w:rsid w:val="00773F61"/>
    <w:rsid w:val="00783483"/>
    <w:rsid w:val="00784BF5"/>
    <w:rsid w:val="0078653A"/>
    <w:rsid w:val="007A452B"/>
    <w:rsid w:val="007B4D34"/>
    <w:rsid w:val="007B7149"/>
    <w:rsid w:val="007C3552"/>
    <w:rsid w:val="007D0C4F"/>
    <w:rsid w:val="007D42EF"/>
    <w:rsid w:val="007E21B4"/>
    <w:rsid w:val="007E2F5B"/>
    <w:rsid w:val="007E32AE"/>
    <w:rsid w:val="007E4120"/>
    <w:rsid w:val="007F0544"/>
    <w:rsid w:val="007F3BC5"/>
    <w:rsid w:val="007F4D64"/>
    <w:rsid w:val="00802B1E"/>
    <w:rsid w:val="0081603F"/>
    <w:rsid w:val="008219DE"/>
    <w:rsid w:val="00823B78"/>
    <w:rsid w:val="008249BE"/>
    <w:rsid w:val="008256F6"/>
    <w:rsid w:val="00827D98"/>
    <w:rsid w:val="00837E7B"/>
    <w:rsid w:val="0084217C"/>
    <w:rsid w:val="008430F3"/>
    <w:rsid w:val="00845513"/>
    <w:rsid w:val="00850249"/>
    <w:rsid w:val="00855950"/>
    <w:rsid w:val="00856D14"/>
    <w:rsid w:val="008621D3"/>
    <w:rsid w:val="0086368C"/>
    <w:rsid w:val="00870CD6"/>
    <w:rsid w:val="00876F93"/>
    <w:rsid w:val="008816AE"/>
    <w:rsid w:val="00882741"/>
    <w:rsid w:val="00884BBC"/>
    <w:rsid w:val="00886197"/>
    <w:rsid w:val="00886E2C"/>
    <w:rsid w:val="008877FE"/>
    <w:rsid w:val="008922DD"/>
    <w:rsid w:val="008949F3"/>
    <w:rsid w:val="008A0020"/>
    <w:rsid w:val="008A1264"/>
    <w:rsid w:val="008A2D16"/>
    <w:rsid w:val="008B5F83"/>
    <w:rsid w:val="008C1372"/>
    <w:rsid w:val="008C5B9B"/>
    <w:rsid w:val="008C74FD"/>
    <w:rsid w:val="008D01B4"/>
    <w:rsid w:val="008D0A40"/>
    <w:rsid w:val="008D3B74"/>
    <w:rsid w:val="008D6E84"/>
    <w:rsid w:val="008F076D"/>
    <w:rsid w:val="00901D3A"/>
    <w:rsid w:val="00905D00"/>
    <w:rsid w:val="00935939"/>
    <w:rsid w:val="00941389"/>
    <w:rsid w:val="00941897"/>
    <w:rsid w:val="00943800"/>
    <w:rsid w:val="00946727"/>
    <w:rsid w:val="009470E8"/>
    <w:rsid w:val="0095057B"/>
    <w:rsid w:val="009505E9"/>
    <w:rsid w:val="00950A1C"/>
    <w:rsid w:val="009535E7"/>
    <w:rsid w:val="00953806"/>
    <w:rsid w:val="0096111D"/>
    <w:rsid w:val="009664C7"/>
    <w:rsid w:val="009704FE"/>
    <w:rsid w:val="009711E6"/>
    <w:rsid w:val="00971C69"/>
    <w:rsid w:val="00972E94"/>
    <w:rsid w:val="009749E3"/>
    <w:rsid w:val="00977353"/>
    <w:rsid w:val="00983F8E"/>
    <w:rsid w:val="00987D26"/>
    <w:rsid w:val="00995975"/>
    <w:rsid w:val="009B3E23"/>
    <w:rsid w:val="009C616F"/>
    <w:rsid w:val="009D349F"/>
    <w:rsid w:val="009E1A5E"/>
    <w:rsid w:val="009E70F8"/>
    <w:rsid w:val="009F3C34"/>
    <w:rsid w:val="00A022F5"/>
    <w:rsid w:val="00A128AD"/>
    <w:rsid w:val="00A17505"/>
    <w:rsid w:val="00A21C19"/>
    <w:rsid w:val="00A23E91"/>
    <w:rsid w:val="00A25AA4"/>
    <w:rsid w:val="00A266FC"/>
    <w:rsid w:val="00A31099"/>
    <w:rsid w:val="00A31588"/>
    <w:rsid w:val="00A36AED"/>
    <w:rsid w:val="00A408DA"/>
    <w:rsid w:val="00A43048"/>
    <w:rsid w:val="00A440E1"/>
    <w:rsid w:val="00A525F9"/>
    <w:rsid w:val="00A563A9"/>
    <w:rsid w:val="00A5645B"/>
    <w:rsid w:val="00A56728"/>
    <w:rsid w:val="00A56AAF"/>
    <w:rsid w:val="00A60764"/>
    <w:rsid w:val="00A611C0"/>
    <w:rsid w:val="00A63C49"/>
    <w:rsid w:val="00A6441E"/>
    <w:rsid w:val="00A730CC"/>
    <w:rsid w:val="00A76861"/>
    <w:rsid w:val="00A83BE1"/>
    <w:rsid w:val="00A90784"/>
    <w:rsid w:val="00AA1310"/>
    <w:rsid w:val="00AA2271"/>
    <w:rsid w:val="00AA2562"/>
    <w:rsid w:val="00AA39A3"/>
    <w:rsid w:val="00AA5440"/>
    <w:rsid w:val="00AB0DD1"/>
    <w:rsid w:val="00AB3252"/>
    <w:rsid w:val="00AB6EE0"/>
    <w:rsid w:val="00AC4407"/>
    <w:rsid w:val="00AD4298"/>
    <w:rsid w:val="00AE7242"/>
    <w:rsid w:val="00B041C0"/>
    <w:rsid w:val="00B063B5"/>
    <w:rsid w:val="00B12D50"/>
    <w:rsid w:val="00B14DD8"/>
    <w:rsid w:val="00B20DAB"/>
    <w:rsid w:val="00B270AC"/>
    <w:rsid w:val="00B32E0D"/>
    <w:rsid w:val="00B370DB"/>
    <w:rsid w:val="00B41A77"/>
    <w:rsid w:val="00B44A39"/>
    <w:rsid w:val="00B5052A"/>
    <w:rsid w:val="00B54205"/>
    <w:rsid w:val="00B56C10"/>
    <w:rsid w:val="00B6137F"/>
    <w:rsid w:val="00B6204F"/>
    <w:rsid w:val="00B65AA7"/>
    <w:rsid w:val="00B66EF4"/>
    <w:rsid w:val="00B7154C"/>
    <w:rsid w:val="00B83A4B"/>
    <w:rsid w:val="00B85426"/>
    <w:rsid w:val="00B93500"/>
    <w:rsid w:val="00B93958"/>
    <w:rsid w:val="00B95323"/>
    <w:rsid w:val="00BA18C1"/>
    <w:rsid w:val="00BA50DA"/>
    <w:rsid w:val="00BA6BC2"/>
    <w:rsid w:val="00BB0590"/>
    <w:rsid w:val="00BB29B2"/>
    <w:rsid w:val="00BD26E5"/>
    <w:rsid w:val="00BE59ED"/>
    <w:rsid w:val="00BE718C"/>
    <w:rsid w:val="00BE7213"/>
    <w:rsid w:val="00BF4399"/>
    <w:rsid w:val="00C01C85"/>
    <w:rsid w:val="00C02746"/>
    <w:rsid w:val="00C07F4B"/>
    <w:rsid w:val="00C10F81"/>
    <w:rsid w:val="00C2178A"/>
    <w:rsid w:val="00C21E38"/>
    <w:rsid w:val="00C23F63"/>
    <w:rsid w:val="00C2512C"/>
    <w:rsid w:val="00C324AF"/>
    <w:rsid w:val="00C35BAD"/>
    <w:rsid w:val="00C37348"/>
    <w:rsid w:val="00C4079E"/>
    <w:rsid w:val="00C46463"/>
    <w:rsid w:val="00C467EF"/>
    <w:rsid w:val="00C50F65"/>
    <w:rsid w:val="00C51C63"/>
    <w:rsid w:val="00C53082"/>
    <w:rsid w:val="00C53CD5"/>
    <w:rsid w:val="00C56807"/>
    <w:rsid w:val="00C607F7"/>
    <w:rsid w:val="00C61190"/>
    <w:rsid w:val="00C64603"/>
    <w:rsid w:val="00C66CB9"/>
    <w:rsid w:val="00C71D0B"/>
    <w:rsid w:val="00C72A75"/>
    <w:rsid w:val="00C73274"/>
    <w:rsid w:val="00C779A2"/>
    <w:rsid w:val="00C810B9"/>
    <w:rsid w:val="00C83F29"/>
    <w:rsid w:val="00C84728"/>
    <w:rsid w:val="00C862F1"/>
    <w:rsid w:val="00C957D2"/>
    <w:rsid w:val="00C96FEA"/>
    <w:rsid w:val="00CB111A"/>
    <w:rsid w:val="00CB6896"/>
    <w:rsid w:val="00CC0833"/>
    <w:rsid w:val="00CC340F"/>
    <w:rsid w:val="00CC7774"/>
    <w:rsid w:val="00CD53A0"/>
    <w:rsid w:val="00CD70CC"/>
    <w:rsid w:val="00CD764C"/>
    <w:rsid w:val="00CE183A"/>
    <w:rsid w:val="00CF2413"/>
    <w:rsid w:val="00CF4596"/>
    <w:rsid w:val="00CF64B9"/>
    <w:rsid w:val="00CF723E"/>
    <w:rsid w:val="00CF7406"/>
    <w:rsid w:val="00D01275"/>
    <w:rsid w:val="00D0637A"/>
    <w:rsid w:val="00D06E67"/>
    <w:rsid w:val="00D07738"/>
    <w:rsid w:val="00D12049"/>
    <w:rsid w:val="00D12475"/>
    <w:rsid w:val="00D16DE8"/>
    <w:rsid w:val="00D175B1"/>
    <w:rsid w:val="00D1762E"/>
    <w:rsid w:val="00D20401"/>
    <w:rsid w:val="00D2099A"/>
    <w:rsid w:val="00D2147F"/>
    <w:rsid w:val="00D2560C"/>
    <w:rsid w:val="00D275DE"/>
    <w:rsid w:val="00D3215A"/>
    <w:rsid w:val="00D44DF9"/>
    <w:rsid w:val="00D46183"/>
    <w:rsid w:val="00D5100F"/>
    <w:rsid w:val="00D56182"/>
    <w:rsid w:val="00D62283"/>
    <w:rsid w:val="00D635B4"/>
    <w:rsid w:val="00D676D6"/>
    <w:rsid w:val="00D71E07"/>
    <w:rsid w:val="00D740F2"/>
    <w:rsid w:val="00D76ED3"/>
    <w:rsid w:val="00D7744D"/>
    <w:rsid w:val="00D82CC0"/>
    <w:rsid w:val="00D86A91"/>
    <w:rsid w:val="00D9033C"/>
    <w:rsid w:val="00D918E2"/>
    <w:rsid w:val="00D9557E"/>
    <w:rsid w:val="00D974DB"/>
    <w:rsid w:val="00DA09BB"/>
    <w:rsid w:val="00DB5E9A"/>
    <w:rsid w:val="00DB6468"/>
    <w:rsid w:val="00DB7FF6"/>
    <w:rsid w:val="00DC331B"/>
    <w:rsid w:val="00DC52A6"/>
    <w:rsid w:val="00DD0C9B"/>
    <w:rsid w:val="00DD17D9"/>
    <w:rsid w:val="00DD451E"/>
    <w:rsid w:val="00DD6D2D"/>
    <w:rsid w:val="00DD7A9B"/>
    <w:rsid w:val="00DF4CC4"/>
    <w:rsid w:val="00DF7027"/>
    <w:rsid w:val="00E032CD"/>
    <w:rsid w:val="00E03BF3"/>
    <w:rsid w:val="00E044E4"/>
    <w:rsid w:val="00E10C57"/>
    <w:rsid w:val="00E1702D"/>
    <w:rsid w:val="00E37F60"/>
    <w:rsid w:val="00E41938"/>
    <w:rsid w:val="00E479F0"/>
    <w:rsid w:val="00E506BA"/>
    <w:rsid w:val="00E52A6D"/>
    <w:rsid w:val="00E600C0"/>
    <w:rsid w:val="00E6331E"/>
    <w:rsid w:val="00E64C35"/>
    <w:rsid w:val="00E71C56"/>
    <w:rsid w:val="00E77970"/>
    <w:rsid w:val="00E81CBC"/>
    <w:rsid w:val="00E843F1"/>
    <w:rsid w:val="00E84579"/>
    <w:rsid w:val="00E85792"/>
    <w:rsid w:val="00E85F11"/>
    <w:rsid w:val="00E96059"/>
    <w:rsid w:val="00EA15AB"/>
    <w:rsid w:val="00EA26A8"/>
    <w:rsid w:val="00EA5B20"/>
    <w:rsid w:val="00EA6799"/>
    <w:rsid w:val="00EB3C01"/>
    <w:rsid w:val="00EB68BA"/>
    <w:rsid w:val="00EC1F2C"/>
    <w:rsid w:val="00EC2128"/>
    <w:rsid w:val="00EC6CE1"/>
    <w:rsid w:val="00EC742B"/>
    <w:rsid w:val="00ED382D"/>
    <w:rsid w:val="00ED582B"/>
    <w:rsid w:val="00EE692C"/>
    <w:rsid w:val="00EF287C"/>
    <w:rsid w:val="00EF585B"/>
    <w:rsid w:val="00EF5B98"/>
    <w:rsid w:val="00F017E2"/>
    <w:rsid w:val="00F023ED"/>
    <w:rsid w:val="00F03B0F"/>
    <w:rsid w:val="00F04E40"/>
    <w:rsid w:val="00F058B2"/>
    <w:rsid w:val="00F05DE1"/>
    <w:rsid w:val="00F1043A"/>
    <w:rsid w:val="00F12CE6"/>
    <w:rsid w:val="00F1627C"/>
    <w:rsid w:val="00F164BC"/>
    <w:rsid w:val="00F2374A"/>
    <w:rsid w:val="00F312BB"/>
    <w:rsid w:val="00F314F7"/>
    <w:rsid w:val="00F329CB"/>
    <w:rsid w:val="00F37DF2"/>
    <w:rsid w:val="00F666E2"/>
    <w:rsid w:val="00F71973"/>
    <w:rsid w:val="00F72258"/>
    <w:rsid w:val="00F74B37"/>
    <w:rsid w:val="00F75F85"/>
    <w:rsid w:val="00F80C6D"/>
    <w:rsid w:val="00F864C7"/>
    <w:rsid w:val="00F91DA2"/>
    <w:rsid w:val="00F91EA0"/>
    <w:rsid w:val="00F94CE4"/>
    <w:rsid w:val="00FA6A9A"/>
    <w:rsid w:val="00FA6D86"/>
    <w:rsid w:val="00FE6798"/>
    <w:rsid w:val="00FF25D5"/>
    <w:rsid w:val="00FF318E"/>
    <w:rsid w:val="00FF74F1"/>
    <w:rsid w:val="17FE0E50"/>
    <w:rsid w:val="5FFF5710"/>
    <w:rsid w:val="73F74E08"/>
    <w:rsid w:val="77FF350B"/>
    <w:rsid w:val="79999E83"/>
    <w:rsid w:val="7FBF3521"/>
    <w:rsid w:val="A9EFCC8F"/>
    <w:rsid w:val="AFFD058E"/>
    <w:rsid w:val="BFFF036E"/>
    <w:rsid w:val="DFFCCC32"/>
    <w:rsid w:val="F2BF5F19"/>
    <w:rsid w:val="F7DCD8CF"/>
    <w:rsid w:val="FAF77DC8"/>
    <w:rsid w:val="FB31FD3A"/>
    <w:rsid w:val="FFB7A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semiHidden/>
    <w:unhideWhenUsed/>
    <w:qFormat/>
    <w:uiPriority w:val="99"/>
    <w:rPr>
      <w:rFonts w:ascii="宋体" w:hAnsi="Courier New"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jc w:val="left"/>
    </w:pPr>
    <w:rPr>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纯文本 Char"/>
    <w:basedOn w:val="8"/>
    <w:link w:val="2"/>
    <w:semiHidden/>
    <w:qFormat/>
    <w:uiPriority w:val="99"/>
    <w:rPr>
      <w:rFonts w:ascii="宋体" w:hAnsi="Courier New" w:eastAsia="宋体" w:cs="Courier New"/>
      <w:szCs w:val="21"/>
    </w:rPr>
  </w:style>
  <w:style w:type="character" w:customStyle="1" w:styleId="12">
    <w:name w:val="批注框文本 Char"/>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439</Words>
  <Characters>2504</Characters>
  <Lines>20</Lines>
  <Paragraphs>5</Paragraphs>
  <TotalTime>0</TotalTime>
  <ScaleCrop>false</ScaleCrop>
  <LinksUpToDate>false</LinksUpToDate>
  <CharactersWithSpaces>2938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2021-12-18T10:59:00Z</dcterms:created>
  <dc:creator>chengaofeng</dc:creator>
  <cp:lastModifiedBy>向爱娥</cp:lastModifiedBy>
  <cp:lastPrinted>2022-01-21T02:17:00Z</cp:lastPrinted>
  <dcterms:modified xsi:type="dcterms:W3CDTF">2024-01-31T13:01:27Z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